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6" w:tblpY="2"/>
        <w:tblW w:w="9039" w:type="dxa"/>
        <w:tblLook w:val="01E0"/>
      </w:tblPr>
      <w:tblGrid>
        <w:gridCol w:w="2802"/>
        <w:gridCol w:w="6237"/>
      </w:tblGrid>
      <w:tr w:rsidR="005F3F50" w:rsidRPr="007D5CF5" w:rsidTr="000700D6">
        <w:trPr>
          <w:trHeight w:val="1707"/>
        </w:trPr>
        <w:tc>
          <w:tcPr>
            <w:tcW w:w="2802" w:type="dxa"/>
          </w:tcPr>
          <w:p w:rsidR="005F3F50" w:rsidRPr="00F52E22" w:rsidRDefault="005F3F50" w:rsidP="005F3F50">
            <w:pPr>
              <w:spacing w:after="0" w:line="240" w:lineRule="atLeast"/>
              <w:jc w:val="center"/>
              <w:rPr>
                <w:rFonts w:ascii="Times New Roman" w:hAnsi="Times New Roman"/>
                <w:b/>
                <w:sz w:val="28"/>
                <w:szCs w:val="28"/>
              </w:rPr>
            </w:pPr>
            <w:r>
              <w:rPr>
                <w:rFonts w:ascii="Times New Roman" w:hAnsi="Times New Roman"/>
                <w:b/>
                <w:sz w:val="28"/>
                <w:szCs w:val="28"/>
              </w:rPr>
              <w:t>CHÍNH PHỦ</w:t>
            </w:r>
          </w:p>
          <w:p w:rsidR="005F3F50" w:rsidRPr="00F52E22" w:rsidRDefault="00235392" w:rsidP="005F3F50">
            <w:pPr>
              <w:spacing w:after="0" w:line="240" w:lineRule="atLeast"/>
              <w:jc w:val="center"/>
              <w:rPr>
                <w:rFonts w:ascii="Times New Roman" w:hAnsi="Times New Roman"/>
                <w:b/>
                <w:sz w:val="28"/>
                <w:szCs w:val="28"/>
              </w:rPr>
            </w:pPr>
            <w:r w:rsidRPr="00235392">
              <w:rPr>
                <w:noProof/>
                <w:lang w:val="en-US"/>
              </w:rPr>
              <w:pict>
                <v:line id="Straight Connector 6" o:spid="_x0000_s1026" style="position:absolute;left:0;text-align:left;z-index:251660288;visibility:visible" from="39.35pt,2.9pt" to="8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Y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dP2SyF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"/>
              </w:pict>
            </w:r>
          </w:p>
          <w:p w:rsidR="005F3F50" w:rsidRPr="00F52E22" w:rsidRDefault="005F3F50" w:rsidP="005F3F50">
            <w:pPr>
              <w:widowControl w:val="0"/>
              <w:spacing w:after="0" w:line="240" w:lineRule="atLeast"/>
              <w:jc w:val="center"/>
              <w:rPr>
                <w:rFonts w:ascii="Times New Roman" w:hAnsi="Times New Roman"/>
                <w:sz w:val="28"/>
                <w:szCs w:val="28"/>
                <w:lang w:val="nl-NL"/>
              </w:rPr>
            </w:pPr>
          </w:p>
          <w:p w:rsidR="005F3F50" w:rsidRPr="00A431C9" w:rsidRDefault="005F3F50" w:rsidP="005F3F50">
            <w:pPr>
              <w:widowControl w:val="0"/>
              <w:spacing w:after="0" w:line="240" w:lineRule="atLeast"/>
              <w:jc w:val="center"/>
              <w:rPr>
                <w:rFonts w:ascii="Times New Roman" w:hAnsi="Times New Roman"/>
                <w:sz w:val="28"/>
                <w:szCs w:val="28"/>
                <w:lang w:val="nl-NL"/>
              </w:rPr>
            </w:pPr>
            <w:r>
              <w:rPr>
                <w:rFonts w:ascii="Times New Roman" w:hAnsi="Times New Roman"/>
                <w:sz w:val="28"/>
                <w:szCs w:val="28"/>
                <w:lang w:val="nl-NL"/>
              </w:rPr>
              <w:t>Số</w:t>
            </w:r>
            <w:r w:rsidR="00CC5767">
              <w:rPr>
                <w:rFonts w:ascii="Times New Roman" w:hAnsi="Times New Roman"/>
                <w:sz w:val="28"/>
                <w:szCs w:val="28"/>
                <w:lang w:val="nl-NL"/>
              </w:rPr>
              <w:t>: 346</w:t>
            </w:r>
            <w:r>
              <w:rPr>
                <w:rFonts w:ascii="Times New Roman" w:hAnsi="Times New Roman"/>
                <w:sz w:val="28"/>
                <w:szCs w:val="28"/>
                <w:lang w:val="nl-NL"/>
              </w:rPr>
              <w:t>/TTr-CP</w:t>
            </w:r>
          </w:p>
        </w:tc>
        <w:tc>
          <w:tcPr>
            <w:tcW w:w="6237" w:type="dxa"/>
          </w:tcPr>
          <w:p w:rsidR="005F3F50" w:rsidRPr="00F52E22" w:rsidRDefault="005F3F50" w:rsidP="005F3F50">
            <w:pPr>
              <w:spacing w:after="0" w:line="240" w:lineRule="atLeast"/>
              <w:jc w:val="center"/>
              <w:rPr>
                <w:rFonts w:ascii="Times New Roman" w:hAnsi="Times New Roman"/>
                <w:b/>
                <w:sz w:val="28"/>
                <w:szCs w:val="28"/>
                <w:lang w:val="nl-NL"/>
              </w:rPr>
            </w:pPr>
            <w:r w:rsidRPr="00F52E22">
              <w:rPr>
                <w:rFonts w:ascii="Times New Roman" w:hAnsi="Times New Roman"/>
                <w:b/>
                <w:sz w:val="28"/>
                <w:szCs w:val="28"/>
                <w:lang w:val="nl-NL"/>
              </w:rPr>
              <w:t>CỘNG HOÀ XÃ HỘI CHỦ NGHĨA VIỆT NAM</w:t>
            </w:r>
          </w:p>
          <w:p w:rsidR="005F3F50" w:rsidRPr="00F52E22" w:rsidRDefault="005F3F50" w:rsidP="005F3F50">
            <w:pPr>
              <w:spacing w:after="0" w:line="240" w:lineRule="atLeast"/>
              <w:jc w:val="center"/>
              <w:rPr>
                <w:rFonts w:ascii="Times New Roman" w:hAnsi="Times New Roman"/>
                <w:b/>
                <w:sz w:val="28"/>
                <w:szCs w:val="28"/>
                <w:lang w:val="nl-NL"/>
              </w:rPr>
            </w:pPr>
            <w:r w:rsidRPr="00F52E22">
              <w:rPr>
                <w:rFonts w:ascii="Times New Roman" w:hAnsi="Times New Roman"/>
                <w:b/>
                <w:sz w:val="28"/>
                <w:szCs w:val="28"/>
                <w:lang w:val="nl-NL"/>
              </w:rPr>
              <w:t>Độc lập - Tự do - Hạnh phúc</w:t>
            </w:r>
          </w:p>
          <w:p w:rsidR="005F3F50" w:rsidRPr="00F52E22" w:rsidRDefault="00235392" w:rsidP="005F3F50">
            <w:pPr>
              <w:spacing w:after="0" w:line="240" w:lineRule="atLeast"/>
              <w:jc w:val="center"/>
              <w:rPr>
                <w:rFonts w:ascii="Times New Roman" w:hAnsi="Times New Roman"/>
                <w:i/>
                <w:sz w:val="28"/>
                <w:szCs w:val="28"/>
                <w:lang w:val="nl-NL"/>
              </w:rPr>
            </w:pPr>
            <w:r w:rsidRPr="00235392">
              <w:rPr>
                <w:noProof/>
                <w:lang w:val="en-US"/>
              </w:rPr>
              <w:pict>
                <v:line id="Straight Connector 5" o:spid="_x0000_s1028" style="position:absolute;left:0;text-align:left;z-index:251659264;visibility:visible" from="68.7pt,.95pt" to="230.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"/>
              </w:pict>
            </w:r>
          </w:p>
          <w:p w:rsidR="005F3F50" w:rsidRPr="00F52E22" w:rsidRDefault="005F3F50" w:rsidP="005F3F50">
            <w:pPr>
              <w:spacing w:after="0" w:line="240" w:lineRule="atLeast"/>
              <w:jc w:val="center"/>
              <w:rPr>
                <w:rFonts w:ascii="Times New Roman" w:hAnsi="Times New Roman"/>
                <w:b/>
                <w:sz w:val="28"/>
                <w:szCs w:val="28"/>
                <w:lang w:val="nl-NL"/>
              </w:rPr>
            </w:pPr>
            <w:r w:rsidRPr="00F52E22">
              <w:rPr>
                <w:rFonts w:ascii="Times New Roman" w:hAnsi="Times New Roman"/>
                <w:i/>
                <w:sz w:val="28"/>
                <w:szCs w:val="28"/>
                <w:lang w:val="nl-NL"/>
              </w:rPr>
              <w:t>Hà Nội, ngày</w:t>
            </w:r>
            <w:r w:rsidR="00CC5767">
              <w:rPr>
                <w:rFonts w:ascii="Times New Roman" w:hAnsi="Times New Roman"/>
                <w:i/>
                <w:sz w:val="28"/>
                <w:szCs w:val="28"/>
                <w:lang w:val="nl-NL"/>
              </w:rPr>
              <w:t xml:space="preserve"> 22 </w:t>
            </w:r>
            <w:r>
              <w:rPr>
                <w:rFonts w:ascii="Times New Roman" w:hAnsi="Times New Roman"/>
                <w:i/>
                <w:sz w:val="28"/>
                <w:szCs w:val="28"/>
                <w:lang w:val="nl-NL"/>
              </w:rPr>
              <w:t xml:space="preserve">tháng </w:t>
            </w:r>
            <w:r w:rsidR="003127C8">
              <w:rPr>
                <w:rFonts w:ascii="Times New Roman" w:hAnsi="Times New Roman"/>
                <w:i/>
                <w:sz w:val="28"/>
                <w:szCs w:val="28"/>
                <w:lang w:val="nl-NL"/>
              </w:rPr>
              <w:t xml:space="preserve">8 </w:t>
            </w:r>
            <w:r w:rsidRPr="00F52E22">
              <w:rPr>
                <w:rFonts w:ascii="Times New Roman" w:hAnsi="Times New Roman"/>
                <w:i/>
                <w:sz w:val="28"/>
                <w:szCs w:val="28"/>
                <w:lang w:val="nl-NL"/>
              </w:rPr>
              <w:t>năm 201</w:t>
            </w:r>
            <w:r>
              <w:rPr>
                <w:rFonts w:ascii="Times New Roman" w:hAnsi="Times New Roman"/>
                <w:i/>
                <w:sz w:val="28"/>
                <w:szCs w:val="28"/>
                <w:lang w:val="nl-NL"/>
              </w:rPr>
              <w:t>9</w:t>
            </w:r>
          </w:p>
        </w:tc>
      </w:tr>
    </w:tbl>
    <w:p w:rsidR="005F3F50" w:rsidRPr="002D2C41" w:rsidRDefault="005F3F50" w:rsidP="005F3F50">
      <w:pPr>
        <w:spacing w:after="0" w:line="240" w:lineRule="auto"/>
        <w:jc w:val="center"/>
        <w:rPr>
          <w:rFonts w:ascii="Times New Roman" w:hAnsi="Times New Roman"/>
          <w:b/>
          <w:sz w:val="29"/>
          <w:szCs w:val="29"/>
          <w:lang w:val="nl-NL"/>
        </w:rPr>
      </w:pPr>
      <w:r w:rsidRPr="002D2C41">
        <w:rPr>
          <w:rFonts w:ascii="Times New Roman" w:hAnsi="Times New Roman"/>
          <w:b/>
          <w:sz w:val="29"/>
          <w:szCs w:val="29"/>
          <w:lang w:val="nl-NL"/>
        </w:rPr>
        <w:t xml:space="preserve">TỜ TRÌNH (RÚT GỌN) </w:t>
      </w:r>
    </w:p>
    <w:p w:rsidR="005F3F50" w:rsidRDefault="005F3F50" w:rsidP="005F3F50">
      <w:pPr>
        <w:spacing w:after="0" w:line="240" w:lineRule="auto"/>
        <w:jc w:val="center"/>
        <w:rPr>
          <w:rFonts w:ascii="Times New Roman" w:hAnsi="Times New Roman"/>
          <w:b/>
          <w:sz w:val="29"/>
          <w:szCs w:val="29"/>
          <w:lang w:val="nl-NL"/>
        </w:rPr>
      </w:pPr>
      <w:r w:rsidRPr="002D2C41">
        <w:rPr>
          <w:rFonts w:ascii="Times New Roman" w:hAnsi="Times New Roman"/>
          <w:b/>
          <w:sz w:val="29"/>
          <w:szCs w:val="29"/>
          <w:lang w:val="nl-NL"/>
        </w:rPr>
        <w:t>Về</w:t>
      </w:r>
      <w:r>
        <w:rPr>
          <w:rFonts w:ascii="Times New Roman" w:hAnsi="Times New Roman"/>
          <w:b/>
          <w:sz w:val="29"/>
          <w:szCs w:val="29"/>
          <w:lang w:val="nl-NL"/>
        </w:rPr>
        <w:t xml:space="preserve"> D</w:t>
      </w:r>
      <w:r w:rsidRPr="002D2C41">
        <w:rPr>
          <w:rFonts w:ascii="Times New Roman" w:hAnsi="Times New Roman"/>
          <w:b/>
          <w:sz w:val="29"/>
          <w:szCs w:val="29"/>
          <w:lang w:val="nl-NL"/>
        </w:rPr>
        <w:t xml:space="preserve">ự án Luật </w:t>
      </w:r>
      <w:r>
        <w:rPr>
          <w:rFonts w:ascii="Times New Roman" w:hAnsi="Times New Roman"/>
          <w:b/>
          <w:sz w:val="29"/>
          <w:szCs w:val="29"/>
          <w:lang w:val="nl-NL"/>
        </w:rPr>
        <w:t xml:space="preserve">sửa đổi, bổ sung một số điều </w:t>
      </w:r>
    </w:p>
    <w:p w:rsidR="005F3F50" w:rsidRPr="002D2C41" w:rsidRDefault="005F3F50" w:rsidP="005F3F50">
      <w:pPr>
        <w:spacing w:after="0" w:line="240" w:lineRule="auto"/>
        <w:jc w:val="center"/>
        <w:rPr>
          <w:rFonts w:ascii="Times New Roman" w:hAnsi="Times New Roman"/>
          <w:b/>
          <w:sz w:val="29"/>
          <w:szCs w:val="29"/>
          <w:lang w:val="nl-NL"/>
        </w:rPr>
      </w:pPr>
      <w:r>
        <w:rPr>
          <w:rFonts w:ascii="Times New Roman" w:hAnsi="Times New Roman"/>
          <w:b/>
          <w:sz w:val="29"/>
          <w:szCs w:val="29"/>
          <w:lang w:val="nl-NL"/>
        </w:rPr>
        <w:t>của Luật giám định tư pháp</w:t>
      </w:r>
    </w:p>
    <w:p w:rsidR="005F3F50" w:rsidRPr="00955606" w:rsidRDefault="00235392" w:rsidP="005F3F50">
      <w:pPr>
        <w:spacing w:before="120" w:after="120" w:line="264" w:lineRule="auto"/>
        <w:jc w:val="center"/>
        <w:rPr>
          <w:rFonts w:ascii="Times New Roman" w:hAnsi="Times New Roman"/>
          <w:sz w:val="16"/>
          <w:szCs w:val="16"/>
          <w:lang w:val="nl-NL"/>
        </w:rPr>
      </w:pPr>
      <w:r w:rsidRPr="00235392">
        <w:rPr>
          <w:noProof/>
          <w:lang w:val="en-US"/>
        </w:rPr>
        <w:pict>
          <v:shapetype id="_x0000_t32" coordsize="21600,21600" o:spt="32" o:oned="t" path="m,l21600,21600e" filled="f">
            <v:path arrowok="t" fillok="f" o:connecttype="none"/>
            <o:lock v:ext="edit" shapetype="t"/>
          </v:shapetype>
          <v:shape id="Straight Arrow Connector 4" o:spid="_x0000_s1027" type="#_x0000_t32" style="position:absolute;left:0;text-align:left;margin-left:162pt;margin-top:4.55pt;width:1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XT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lsfjdLcZ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"/>
        </w:pict>
      </w:r>
    </w:p>
    <w:p w:rsidR="005F3F50" w:rsidRPr="00C04653" w:rsidRDefault="005F3F50" w:rsidP="00F33E00">
      <w:pPr>
        <w:spacing w:before="100" w:after="100" w:line="360" w:lineRule="atLeast"/>
        <w:jc w:val="center"/>
        <w:rPr>
          <w:rFonts w:ascii="Times New Roman" w:hAnsi="Times New Roman"/>
          <w:sz w:val="28"/>
          <w:szCs w:val="28"/>
          <w:lang w:val="nl-NL"/>
        </w:rPr>
      </w:pPr>
      <w:r w:rsidRPr="00C04653">
        <w:rPr>
          <w:rFonts w:ascii="Times New Roman" w:hAnsi="Times New Roman"/>
          <w:sz w:val="28"/>
          <w:szCs w:val="28"/>
          <w:lang w:val="nl-NL"/>
        </w:rPr>
        <w:t>Kính thưa: Quốc hội</w:t>
      </w:r>
    </w:p>
    <w:p w:rsidR="005F3F50" w:rsidRPr="00C04653" w:rsidRDefault="003127C8" w:rsidP="00F33E00">
      <w:pPr>
        <w:spacing w:before="100" w:after="100" w:line="360" w:lineRule="atLeast"/>
        <w:ind w:firstLine="709"/>
        <w:jc w:val="both"/>
        <w:rPr>
          <w:rFonts w:ascii="Times New Roman" w:hAnsi="Times New Roman"/>
          <w:sz w:val="28"/>
          <w:szCs w:val="28"/>
          <w:lang w:val="nl-NL"/>
        </w:rPr>
      </w:pPr>
      <w:r w:rsidRPr="00CC5767">
        <w:rPr>
          <w:rFonts w:ascii="Times New Roman" w:hAnsi="Times New Roman" w:cs="Times New Roman"/>
          <w:sz w:val="28"/>
          <w:szCs w:val="28"/>
          <w:lang w:val="nl-NL" w:eastAsia="zh-CN"/>
        </w:rPr>
        <w:t>Ngày</w:t>
      </w:r>
      <w:r w:rsidR="00CC5767" w:rsidRPr="00CC5767">
        <w:rPr>
          <w:rFonts w:ascii="Times New Roman" w:hAnsi="Times New Roman" w:cs="Times New Roman"/>
          <w:sz w:val="28"/>
          <w:szCs w:val="28"/>
          <w:lang w:val="nl-NL" w:eastAsia="zh-CN"/>
        </w:rPr>
        <w:t xml:space="preserve"> 22 </w:t>
      </w:r>
      <w:r w:rsidRPr="00CC5767">
        <w:rPr>
          <w:rFonts w:ascii="Times New Roman" w:hAnsi="Times New Roman" w:cs="Times New Roman"/>
          <w:sz w:val="28"/>
          <w:szCs w:val="28"/>
          <w:lang w:val="nl-NL" w:eastAsia="zh-CN"/>
        </w:rPr>
        <w:t>tháng 8 năm 2019</w:t>
      </w:r>
      <w:r w:rsidR="005F3F50" w:rsidRPr="00CC5767">
        <w:rPr>
          <w:rFonts w:ascii="Times New Roman" w:hAnsi="Times New Roman" w:cs="Times New Roman"/>
          <w:sz w:val="28"/>
          <w:szCs w:val="28"/>
          <w:lang w:val="nl-NL" w:eastAsia="zh-CN"/>
        </w:rPr>
        <w:t>, Chính phủ đã có Tờ trình số</w:t>
      </w:r>
      <w:r w:rsidR="00CC5767" w:rsidRPr="00CC5767">
        <w:rPr>
          <w:rFonts w:ascii="Times New Roman" w:hAnsi="Times New Roman" w:cs="Times New Roman"/>
          <w:sz w:val="28"/>
          <w:szCs w:val="28"/>
          <w:lang w:val="nl-NL" w:eastAsia="zh-CN"/>
        </w:rPr>
        <w:t xml:space="preserve"> 345</w:t>
      </w:r>
      <w:r w:rsidR="005F3F50" w:rsidRPr="00CC5767">
        <w:rPr>
          <w:rFonts w:ascii="Times New Roman" w:hAnsi="Times New Roman" w:cs="Times New Roman"/>
          <w:sz w:val="28"/>
          <w:szCs w:val="28"/>
          <w:lang w:val="nl-NL" w:eastAsia="zh-CN"/>
        </w:rPr>
        <w:t>/TTr-CP trình</w:t>
      </w:r>
      <w:r w:rsidR="005F3F50" w:rsidRPr="00C04653">
        <w:rPr>
          <w:rFonts w:ascii="Times New Roman" w:hAnsi="Times New Roman" w:cs="Times New Roman"/>
          <w:sz w:val="28"/>
          <w:szCs w:val="28"/>
          <w:lang w:val="nl-NL" w:eastAsia="zh-CN"/>
        </w:rPr>
        <w:t xml:space="preserve"> Quốc hội về</w:t>
      </w:r>
      <w:r w:rsidRPr="00C04653">
        <w:rPr>
          <w:rFonts w:ascii="Times New Roman" w:hAnsi="Times New Roman"/>
          <w:sz w:val="28"/>
          <w:szCs w:val="28"/>
          <w:lang w:val="nl-NL"/>
        </w:rPr>
        <w:t>Dự án Luật sửa đổi, bổ sung một số điều của Luật giám định tư pháp</w:t>
      </w:r>
      <w:r w:rsidR="005F3F50" w:rsidRPr="00C04653">
        <w:rPr>
          <w:rFonts w:ascii="Times New Roman" w:hAnsi="Times New Roman" w:cs="Times New Roman"/>
          <w:sz w:val="28"/>
          <w:szCs w:val="28"/>
          <w:lang w:val="nl-NL" w:eastAsia="zh-CN"/>
        </w:rPr>
        <w:t>(sau đây gọ</w:t>
      </w:r>
      <w:r w:rsidRPr="00C04653">
        <w:rPr>
          <w:rFonts w:ascii="Times New Roman" w:hAnsi="Times New Roman" w:cs="Times New Roman"/>
          <w:sz w:val="28"/>
          <w:szCs w:val="28"/>
          <w:lang w:val="nl-NL" w:eastAsia="zh-CN"/>
        </w:rPr>
        <w:t>i là D</w:t>
      </w:r>
      <w:r w:rsidR="005F3F50" w:rsidRPr="00C04653">
        <w:rPr>
          <w:rFonts w:ascii="Times New Roman" w:hAnsi="Times New Roman" w:cs="Times New Roman"/>
          <w:sz w:val="28"/>
          <w:szCs w:val="28"/>
          <w:lang w:val="nl-NL" w:eastAsia="zh-CN"/>
        </w:rPr>
        <w:t xml:space="preserve">ự án Luật), kèm theo đầy đủ hồ sơ theo đúng quy định của Luật ban hành văn bản quy phạm pháp luật. Tờ trình gồm 05 nội dung: (1) Sự cần thiết ban hành Luật; (2) </w:t>
      </w:r>
      <w:r w:rsidRPr="00C04653">
        <w:rPr>
          <w:rFonts w:ascii="Times New Roman" w:hAnsi="Times New Roman" w:cs="Times New Roman"/>
          <w:sz w:val="28"/>
          <w:szCs w:val="28"/>
          <w:lang w:val="nl-NL" w:eastAsia="zh-CN"/>
        </w:rPr>
        <w:t xml:space="preserve">Mục đích, quan điểm chỉ đạo xây dựng Luật; (3) </w:t>
      </w:r>
      <w:r w:rsidR="005F3F50" w:rsidRPr="00C04653">
        <w:rPr>
          <w:rFonts w:ascii="Times New Roman" w:hAnsi="Times New Roman" w:cs="Times New Roman"/>
          <w:sz w:val="28"/>
          <w:szCs w:val="28"/>
          <w:lang w:val="nl-NL" w:eastAsia="zh-CN"/>
        </w:rPr>
        <w:t>Quá trình xây dự</w:t>
      </w:r>
      <w:r w:rsidRPr="00C04653">
        <w:rPr>
          <w:rFonts w:ascii="Times New Roman" w:hAnsi="Times New Roman" w:cs="Times New Roman"/>
          <w:sz w:val="28"/>
          <w:szCs w:val="28"/>
          <w:lang w:val="nl-NL" w:eastAsia="zh-CN"/>
        </w:rPr>
        <w:t xml:space="preserve">ng </w:t>
      </w:r>
      <w:r w:rsidR="005F3F50" w:rsidRPr="00C04653">
        <w:rPr>
          <w:rFonts w:ascii="Times New Roman" w:hAnsi="Times New Roman" w:cs="Times New Roman"/>
          <w:sz w:val="28"/>
          <w:szCs w:val="28"/>
          <w:lang w:val="nl-NL" w:eastAsia="zh-CN"/>
        </w:rPr>
        <w:t>Luật; (4) Phạm vi điều chỉnh và nội dung của Luật. Thay mặt Chính phủ, thừa ủy quyền của Thủ tướng Chính phủ, Bộ Tư pháp xin báo cáo Quốc hội Tờ trình rút gọn như sau:</w:t>
      </w:r>
    </w:p>
    <w:p w:rsidR="00E84D48" w:rsidRPr="00C04653" w:rsidRDefault="00F07C46" w:rsidP="00F33E00">
      <w:pPr>
        <w:widowControl w:val="0"/>
        <w:spacing w:before="100" w:after="100" w:line="360" w:lineRule="atLeast"/>
        <w:ind w:firstLine="720"/>
        <w:jc w:val="both"/>
        <w:rPr>
          <w:rFonts w:ascii="Times New Roman" w:eastAsia="Times New Roman" w:hAnsi="Times New Roman" w:cs="Times New Roman"/>
          <w:b/>
          <w:noProof/>
          <w:sz w:val="28"/>
          <w:szCs w:val="28"/>
          <w:lang w:val="nl-NL"/>
        </w:rPr>
      </w:pPr>
      <w:r w:rsidRPr="00C04653">
        <w:rPr>
          <w:rFonts w:ascii="Times New Roman" w:eastAsia="Times New Roman" w:hAnsi="Times New Roman" w:cs="Times New Roman"/>
          <w:b/>
          <w:sz w:val="28"/>
          <w:szCs w:val="28"/>
        </w:rPr>
        <w:t>I</w:t>
      </w:r>
      <w:r w:rsidR="00E84D48" w:rsidRPr="00C04653">
        <w:rPr>
          <w:rFonts w:ascii="Times New Roman" w:eastAsia="Times New Roman" w:hAnsi="Times New Roman" w:cs="Times New Roman"/>
          <w:b/>
          <w:sz w:val="28"/>
          <w:szCs w:val="28"/>
        </w:rPr>
        <w:t>. MỤC ĐÍCH</w:t>
      </w:r>
      <w:r w:rsidR="00E84D48" w:rsidRPr="00C04653">
        <w:rPr>
          <w:rFonts w:ascii="Times New Roman" w:eastAsia="Times New Roman" w:hAnsi="Times New Roman" w:cs="Times New Roman"/>
          <w:b/>
          <w:sz w:val="28"/>
          <w:szCs w:val="28"/>
          <w:lang w:val="sv-SE"/>
        </w:rPr>
        <w:t xml:space="preserve">, </w:t>
      </w:r>
      <w:r w:rsidR="00E84D48" w:rsidRPr="00C04653">
        <w:rPr>
          <w:rFonts w:ascii="Times New Roman" w:eastAsia="Times New Roman" w:hAnsi="Times New Roman" w:cs="Times New Roman"/>
          <w:b/>
          <w:sz w:val="28"/>
          <w:szCs w:val="28"/>
        </w:rPr>
        <w:t>QUAN ĐIỂM</w:t>
      </w:r>
      <w:r w:rsidR="00E84D48" w:rsidRPr="00C04653">
        <w:rPr>
          <w:rFonts w:ascii="Times New Roman" w:eastAsia="Times New Roman" w:hAnsi="Times New Roman" w:cs="Times New Roman"/>
          <w:b/>
          <w:sz w:val="28"/>
          <w:szCs w:val="28"/>
          <w:lang w:val="en-US"/>
        </w:rPr>
        <w:t xml:space="preserve"> CHỈ ĐẠO</w:t>
      </w:r>
      <w:r w:rsidR="00E84D48" w:rsidRPr="00C04653">
        <w:rPr>
          <w:rFonts w:ascii="Times New Roman" w:eastAsia="Times New Roman" w:hAnsi="Times New Roman" w:cs="Times New Roman"/>
          <w:b/>
          <w:sz w:val="28"/>
          <w:szCs w:val="28"/>
        </w:rPr>
        <w:t xml:space="preserve"> XÂY DỰNG </w:t>
      </w:r>
      <w:r w:rsidR="00E84D48" w:rsidRPr="00C04653">
        <w:rPr>
          <w:rFonts w:ascii="Times New Roman" w:eastAsia="Times New Roman" w:hAnsi="Times New Roman" w:cs="Times New Roman"/>
          <w:b/>
          <w:sz w:val="28"/>
          <w:szCs w:val="28"/>
          <w:lang w:val="nl-NL"/>
        </w:rPr>
        <w:t>LUẬT</w:t>
      </w:r>
    </w:p>
    <w:p w:rsidR="00F07C46" w:rsidRPr="00C04653" w:rsidRDefault="00F07C46" w:rsidP="00F33E00">
      <w:pPr>
        <w:widowControl w:val="0"/>
        <w:spacing w:before="100" w:after="100" w:line="360" w:lineRule="atLeast"/>
        <w:ind w:firstLine="720"/>
        <w:jc w:val="both"/>
        <w:rPr>
          <w:rFonts w:ascii="Times New Roman" w:hAnsi="Times New Roman" w:cs="Times New Roman"/>
          <w:sz w:val="28"/>
          <w:szCs w:val="28"/>
          <w:lang w:val="nl-NL"/>
        </w:rPr>
      </w:pPr>
      <w:r w:rsidRPr="00C04653">
        <w:rPr>
          <w:rFonts w:ascii="Times New Roman" w:hAnsi="Times New Roman" w:cs="Times New Roman"/>
          <w:sz w:val="28"/>
          <w:szCs w:val="28"/>
          <w:lang w:val="nl-NL" w:eastAsia="zh-CN"/>
        </w:rPr>
        <w:t>Mục đích của việc sửa đổi, bổ sung Luật giám định tư pháp năm 2012 là nhằm tiếp tục hoàn thiện thể chế về giám định tư pháp, phù hợp với tinh thần Nghị quyết số 49-NQ/TW ngày 02/6/2005 của Bộ Chính trị về Chiến lược cải cách tư pháp đến năm 2020, đồng thời thực hiện chỉ đạo của Ban Chỉ đạo T</w:t>
      </w:r>
      <w:r w:rsidRPr="00C04653">
        <w:rPr>
          <w:rFonts w:ascii="Times New Roman" w:hAnsi="Times New Roman" w:cs="Times New Roman"/>
          <w:sz w:val="28"/>
          <w:szCs w:val="28"/>
          <w:lang w:val="nl-NL"/>
        </w:rPr>
        <w:t>rung ương về phòng, chống tham nhũng; nâng cao hiệu lực, hiệu quả của công tác giám định tư pháp, bảo đảm đáp ứng tốt hơn nữa yêu cầu giám định của hoạt động tố tụng nói chung và trong giải quyết án tham nhũng, kinh tế nói riêng.</w:t>
      </w:r>
    </w:p>
    <w:p w:rsidR="00F07C46" w:rsidRPr="00C04653" w:rsidRDefault="00F07C46" w:rsidP="00F33E00">
      <w:pPr>
        <w:widowControl w:val="0"/>
        <w:spacing w:before="100" w:after="100" w:line="360" w:lineRule="atLeast"/>
        <w:ind w:firstLine="720"/>
        <w:jc w:val="both"/>
        <w:rPr>
          <w:rFonts w:ascii="Times New Roman" w:hAnsi="Times New Roman" w:cs="Times New Roman"/>
          <w:sz w:val="28"/>
          <w:szCs w:val="28"/>
          <w:lang w:val="nl-NL"/>
        </w:rPr>
      </w:pPr>
      <w:r w:rsidRPr="00C04653">
        <w:rPr>
          <w:rFonts w:ascii="Times New Roman" w:hAnsi="Times New Roman" w:cs="Times New Roman"/>
          <w:sz w:val="28"/>
          <w:szCs w:val="28"/>
          <w:lang w:val="nl-NL"/>
        </w:rPr>
        <w:t xml:space="preserve">Quan điểm chỉ đạo xây dựng Luật là tập trung sửa đổi, bổ sung nhanh chóng, kịp thời những vấn đề mang tính cấp bách, cần thiết nhất để tháo gỡ vướng mắc, bất cập về thể chế, khắc phục ngay những tồn tại, khó khăn trong công tác giám định tư pháp phục vụ giải quyết án tham nhũng, kinh tế. </w:t>
      </w:r>
    </w:p>
    <w:p w:rsidR="00E84D48" w:rsidRPr="00C04653" w:rsidRDefault="00F07C46" w:rsidP="00F33E00">
      <w:pPr>
        <w:widowControl w:val="0"/>
        <w:suppressAutoHyphens/>
        <w:spacing w:before="100" w:after="100" w:line="360" w:lineRule="atLeast"/>
        <w:ind w:firstLine="720"/>
        <w:jc w:val="both"/>
        <w:rPr>
          <w:rFonts w:ascii="Times New Roman" w:hAnsi="Times New Roman" w:cs="Times New Roman"/>
          <w:b/>
          <w:sz w:val="28"/>
          <w:szCs w:val="28"/>
          <w:lang w:val="nl-NL"/>
        </w:rPr>
      </w:pPr>
      <w:r w:rsidRPr="00C04653">
        <w:rPr>
          <w:rFonts w:ascii="Times New Roman" w:hAnsi="Times New Roman" w:cs="Times New Roman"/>
          <w:b/>
          <w:sz w:val="28"/>
          <w:szCs w:val="28"/>
          <w:lang w:val="nl-NL"/>
        </w:rPr>
        <w:t>II</w:t>
      </w:r>
      <w:r w:rsidR="00E84D48" w:rsidRPr="00C04653">
        <w:rPr>
          <w:rFonts w:ascii="Times New Roman" w:hAnsi="Times New Roman" w:cs="Times New Roman"/>
          <w:b/>
          <w:sz w:val="28"/>
          <w:szCs w:val="28"/>
          <w:lang w:val="nl-NL"/>
        </w:rPr>
        <w:t>. PHẠM VI ĐIỀU CHỈNH VÀ NỘI DUNG CỦA LUẬT</w:t>
      </w:r>
    </w:p>
    <w:p w:rsidR="00964D1B" w:rsidRPr="00C04653" w:rsidRDefault="00964D1B" w:rsidP="00F33E00">
      <w:pPr>
        <w:widowControl w:val="0"/>
        <w:spacing w:before="100" w:after="100" w:line="360" w:lineRule="atLeast"/>
        <w:ind w:firstLine="720"/>
        <w:jc w:val="both"/>
        <w:rPr>
          <w:rFonts w:ascii="Times New Roman" w:hAnsi="Times New Roman" w:cs="Times New Roman"/>
          <w:b/>
          <w:sz w:val="28"/>
          <w:szCs w:val="28"/>
          <w:lang w:val="nl-NL"/>
        </w:rPr>
      </w:pPr>
      <w:r w:rsidRPr="00C04653">
        <w:rPr>
          <w:rFonts w:ascii="Times New Roman" w:hAnsi="Times New Roman" w:cs="Times New Roman"/>
          <w:b/>
          <w:sz w:val="28"/>
          <w:szCs w:val="28"/>
          <w:lang w:val="nl-NL"/>
        </w:rPr>
        <w:t>1. Phạm vi điều chỉnh</w:t>
      </w:r>
    </w:p>
    <w:p w:rsidR="00964D1B" w:rsidRPr="00C04653" w:rsidRDefault="00964D1B" w:rsidP="00F33E00">
      <w:pPr>
        <w:widowControl w:val="0"/>
        <w:spacing w:before="100" w:after="100" w:line="360" w:lineRule="atLeast"/>
        <w:ind w:firstLine="720"/>
        <w:jc w:val="both"/>
        <w:rPr>
          <w:rFonts w:ascii="Times New Roman" w:hAnsi="Times New Roman" w:cs="Times New Roman"/>
          <w:sz w:val="28"/>
          <w:szCs w:val="28"/>
          <w:lang w:val="nl-NL"/>
        </w:rPr>
      </w:pPr>
      <w:r w:rsidRPr="00C04653">
        <w:rPr>
          <w:rFonts w:ascii="Times New Roman" w:hAnsi="Times New Roman" w:cs="Times New Roman"/>
          <w:sz w:val="28"/>
          <w:szCs w:val="28"/>
          <w:lang w:val="nl-NL"/>
        </w:rPr>
        <w:t>Luật này sửa đổi, bổ sung một số quy định của Luật năm 2012 về căn cứ trưng cầu giám định; cách thức trưng cầu và “phân tuyế</w:t>
      </w:r>
      <w:r w:rsidR="00C04653">
        <w:rPr>
          <w:rFonts w:ascii="Times New Roman" w:hAnsi="Times New Roman" w:cs="Times New Roman"/>
          <w:sz w:val="28"/>
          <w:szCs w:val="28"/>
          <w:lang w:val="nl-NL"/>
        </w:rPr>
        <w:t>n”</w:t>
      </w:r>
      <w:r w:rsidRPr="00C04653">
        <w:rPr>
          <w:rFonts w:ascii="Times New Roman" w:hAnsi="Times New Roman" w:cs="Times New Roman"/>
          <w:sz w:val="28"/>
          <w:szCs w:val="28"/>
          <w:lang w:val="nl-NL"/>
        </w:rPr>
        <w:t xml:space="preserve"> thực hiện giám định trong trường hợp vụ việc giám định liên quan đa ngành, đa lĩnh vực; trách nhiệm của cơ quan trưng cầu giám định, cơ quan thực hiện giám định; thẩm quyền trưng cầu và thực hiện giám định; thời hạn giám định; xử lý vi phạm trong hoạt động giám định tư pháp; trách nhiệm của các Bộ, ngành chủ quản đối với hoạt </w:t>
      </w:r>
      <w:r w:rsidRPr="00C04653">
        <w:rPr>
          <w:rFonts w:ascii="Times New Roman" w:hAnsi="Times New Roman" w:cs="Times New Roman"/>
          <w:sz w:val="28"/>
          <w:szCs w:val="28"/>
          <w:lang w:val="nl-NL"/>
        </w:rPr>
        <w:lastRenderedPageBreak/>
        <w:t>động giám định tư pháp; việc áp dụng quy định của Luật này trong thực hiện giám định theo trưng cầu của cơ quan thanh tra.</w:t>
      </w:r>
    </w:p>
    <w:p w:rsidR="00964D1B" w:rsidRPr="00F33E00" w:rsidRDefault="00964D1B" w:rsidP="00F33E00">
      <w:pPr>
        <w:widowControl w:val="0"/>
        <w:spacing w:before="100" w:after="100" w:line="360" w:lineRule="atLeast"/>
        <w:ind w:firstLine="720"/>
        <w:jc w:val="both"/>
        <w:rPr>
          <w:rFonts w:ascii="Times New Roman" w:eastAsia="Times New Roman" w:hAnsi="Times New Roman" w:cs="Times New Roman"/>
          <w:sz w:val="28"/>
          <w:szCs w:val="28"/>
          <w:lang w:eastAsia="vi-VN"/>
        </w:rPr>
      </w:pPr>
      <w:r w:rsidRPr="00C04653">
        <w:rPr>
          <w:rFonts w:ascii="Times New Roman" w:hAnsi="Times New Roman" w:cs="Times New Roman"/>
          <w:sz w:val="28"/>
          <w:szCs w:val="28"/>
          <w:lang w:val="nl-NL"/>
        </w:rPr>
        <w:t>Dự án Luậ</w:t>
      </w:r>
      <w:r w:rsidR="00CD0ED9">
        <w:rPr>
          <w:rFonts w:ascii="Times New Roman" w:hAnsi="Times New Roman" w:cs="Times New Roman"/>
          <w:sz w:val="28"/>
          <w:szCs w:val="28"/>
          <w:lang w:val="nl-NL"/>
        </w:rPr>
        <w:t xml:space="preserve">t đã </w:t>
      </w:r>
      <w:r w:rsidRPr="00C04653">
        <w:rPr>
          <w:rFonts w:ascii="Times New Roman" w:hAnsi="Times New Roman" w:cs="Times New Roman"/>
          <w:sz w:val="28"/>
          <w:szCs w:val="28"/>
          <w:lang w:val="nl-NL"/>
        </w:rPr>
        <w:t xml:space="preserve">bổ sung </w:t>
      </w:r>
      <w:r w:rsidRPr="00C04653">
        <w:rPr>
          <w:rFonts w:ascii="Times New Roman" w:eastAsia="Times New Roman" w:hAnsi="Times New Roman" w:cs="Times New Roman"/>
          <w:sz w:val="28"/>
          <w:szCs w:val="28"/>
          <w:lang w:eastAsia="vi-VN"/>
        </w:rPr>
        <w:t>0</w:t>
      </w:r>
      <w:r w:rsidRPr="00C04653">
        <w:rPr>
          <w:rFonts w:ascii="Times New Roman" w:eastAsia="Times New Roman" w:hAnsi="Times New Roman" w:cs="Times New Roman"/>
          <w:sz w:val="28"/>
          <w:szCs w:val="28"/>
          <w:lang w:val="en-US" w:eastAsia="vi-VN"/>
        </w:rPr>
        <w:t>3</w:t>
      </w:r>
      <w:r w:rsidRPr="00C04653">
        <w:rPr>
          <w:rFonts w:ascii="Times New Roman" w:eastAsia="Times New Roman" w:hAnsi="Times New Roman" w:cs="Times New Roman"/>
          <w:sz w:val="28"/>
          <w:szCs w:val="28"/>
          <w:lang w:eastAsia="vi-VN"/>
        </w:rPr>
        <w:t xml:space="preserve"> điều</w:t>
      </w:r>
      <w:r w:rsidR="00F33E00">
        <w:rPr>
          <w:rFonts w:ascii="Times New Roman" w:eastAsia="Times New Roman" w:hAnsi="Times New Roman" w:cs="Times New Roman"/>
          <w:sz w:val="28"/>
          <w:szCs w:val="28"/>
          <w:lang w:val="en-US" w:eastAsia="vi-VN"/>
        </w:rPr>
        <w:t>;s</w:t>
      </w:r>
      <w:r w:rsidRPr="00C04653">
        <w:rPr>
          <w:rFonts w:ascii="Times New Roman" w:eastAsia="Times New Roman" w:hAnsi="Times New Roman" w:cs="Times New Roman"/>
          <w:sz w:val="28"/>
          <w:szCs w:val="28"/>
          <w:lang w:eastAsia="vi-VN"/>
        </w:rPr>
        <w:t>ửa đổi, bổ sung 0</w:t>
      </w:r>
      <w:r w:rsidRPr="00C04653">
        <w:rPr>
          <w:rFonts w:ascii="Times New Roman" w:eastAsia="Times New Roman" w:hAnsi="Times New Roman" w:cs="Times New Roman"/>
          <w:sz w:val="28"/>
          <w:szCs w:val="28"/>
          <w:lang w:val="en-US" w:eastAsia="vi-VN"/>
        </w:rPr>
        <w:t>5</w:t>
      </w:r>
      <w:r w:rsidRPr="00C04653">
        <w:rPr>
          <w:rFonts w:ascii="Times New Roman" w:eastAsia="Times New Roman" w:hAnsi="Times New Roman" w:cs="Times New Roman"/>
          <w:sz w:val="28"/>
          <w:szCs w:val="28"/>
          <w:lang w:eastAsia="vi-VN"/>
        </w:rPr>
        <w:t xml:space="preserve"> điều</w:t>
      </w:r>
      <w:r w:rsidR="00F33E00">
        <w:rPr>
          <w:rFonts w:ascii="Times New Roman" w:eastAsia="Times New Roman" w:hAnsi="Times New Roman" w:cs="Times New Roman"/>
          <w:sz w:val="28"/>
          <w:szCs w:val="28"/>
          <w:lang w:val="en-US" w:eastAsia="vi-VN"/>
        </w:rPr>
        <w:t>; s</w:t>
      </w:r>
      <w:r w:rsidR="00F33E00" w:rsidRPr="00C04653">
        <w:rPr>
          <w:rFonts w:ascii="Times New Roman" w:eastAsia="Times New Roman" w:hAnsi="Times New Roman" w:cs="Times New Roman"/>
          <w:sz w:val="28"/>
          <w:szCs w:val="28"/>
          <w:lang w:eastAsia="vi-VN"/>
        </w:rPr>
        <w:t>ửa đổi, bổ sung</w:t>
      </w:r>
      <w:r w:rsidRPr="00C04653">
        <w:rPr>
          <w:rFonts w:ascii="Times New Roman" w:eastAsia="Times New Roman" w:hAnsi="Times New Roman" w:cs="Times New Roman"/>
          <w:sz w:val="28"/>
          <w:szCs w:val="28"/>
          <w:lang w:val="en-US" w:eastAsia="vi-VN"/>
        </w:rPr>
        <w:t>17</w:t>
      </w:r>
      <w:r w:rsidRPr="00C04653">
        <w:rPr>
          <w:rFonts w:ascii="Times New Roman" w:eastAsia="Times New Roman" w:hAnsi="Times New Roman" w:cs="Times New Roman"/>
          <w:sz w:val="28"/>
          <w:szCs w:val="28"/>
          <w:lang w:eastAsia="vi-VN"/>
        </w:rPr>
        <w:t xml:space="preserve"> khoản và 1</w:t>
      </w:r>
      <w:r w:rsidRPr="00C04653">
        <w:rPr>
          <w:rFonts w:ascii="Times New Roman" w:eastAsia="Times New Roman" w:hAnsi="Times New Roman" w:cs="Times New Roman"/>
          <w:sz w:val="28"/>
          <w:szCs w:val="28"/>
          <w:lang w:val="en-US" w:eastAsia="vi-VN"/>
        </w:rPr>
        <w:t>4</w:t>
      </w:r>
      <w:r w:rsidRPr="00C04653">
        <w:rPr>
          <w:rFonts w:ascii="Times New Roman" w:eastAsia="Times New Roman" w:hAnsi="Times New Roman" w:cs="Times New Roman"/>
          <w:sz w:val="28"/>
          <w:szCs w:val="28"/>
          <w:lang w:eastAsia="vi-VN"/>
        </w:rPr>
        <w:t xml:space="preserve"> điểm.</w:t>
      </w:r>
    </w:p>
    <w:p w:rsidR="00964D1B" w:rsidRPr="00C04653" w:rsidRDefault="00964D1B" w:rsidP="00F33E00">
      <w:pPr>
        <w:widowControl w:val="0"/>
        <w:spacing w:before="100" w:after="100" w:line="360" w:lineRule="atLeast"/>
        <w:ind w:firstLine="720"/>
        <w:jc w:val="both"/>
        <w:rPr>
          <w:rFonts w:ascii="Times New Roman" w:hAnsi="Times New Roman" w:cs="Times New Roman"/>
          <w:b/>
          <w:sz w:val="28"/>
          <w:szCs w:val="28"/>
          <w:lang w:val="nl-NL"/>
        </w:rPr>
      </w:pPr>
      <w:r w:rsidRPr="00C04653">
        <w:rPr>
          <w:rFonts w:ascii="Times New Roman" w:hAnsi="Times New Roman" w:cs="Times New Roman"/>
          <w:b/>
          <w:sz w:val="28"/>
          <w:szCs w:val="28"/>
          <w:lang w:val="nl-NL"/>
        </w:rPr>
        <w:t>2. Nội dung cơ bản sửa đổi, bổ sung</w:t>
      </w:r>
    </w:p>
    <w:p w:rsidR="00964D1B" w:rsidRPr="00C04653" w:rsidRDefault="00964D1B" w:rsidP="00F33E00">
      <w:pPr>
        <w:pStyle w:val="NormalWeb"/>
        <w:widowControl w:val="0"/>
        <w:spacing w:beforeAutospacing="0" w:afterAutospacing="0" w:line="360" w:lineRule="atLeast"/>
        <w:ind w:firstLine="720"/>
        <w:jc w:val="both"/>
        <w:rPr>
          <w:sz w:val="28"/>
          <w:szCs w:val="28"/>
          <w:lang w:val="nl-NL"/>
        </w:rPr>
      </w:pPr>
      <w:r w:rsidRPr="00C04653">
        <w:rPr>
          <w:sz w:val="28"/>
          <w:szCs w:val="28"/>
          <w:lang w:val="nl-NL"/>
        </w:rPr>
        <w:t>a) Bổ sung quy định về căn cứ, cách thức trưng cầu giám định</w:t>
      </w:r>
    </w:p>
    <w:p w:rsidR="00964D1B" w:rsidRPr="00C04653" w:rsidRDefault="00964D1B" w:rsidP="00F33E00">
      <w:pPr>
        <w:pStyle w:val="NormalWeb"/>
        <w:widowControl w:val="0"/>
        <w:spacing w:beforeAutospacing="0" w:afterAutospacing="0" w:line="360" w:lineRule="atLeast"/>
        <w:ind w:firstLine="720"/>
        <w:jc w:val="both"/>
        <w:rPr>
          <w:sz w:val="28"/>
          <w:szCs w:val="28"/>
          <w:lang w:val="nl-NL"/>
        </w:rPr>
      </w:pPr>
      <w:r w:rsidRPr="00C04653">
        <w:rPr>
          <w:sz w:val="28"/>
          <w:szCs w:val="28"/>
          <w:lang w:val="nl-NL"/>
        </w:rPr>
        <w:t xml:space="preserve">Để khắc phục tình trạng lạm dụng giám định tư pháp gây khó khăn cho công tác điều tra, truy tố và xét xử, dự thảo Luật bổ sung một số quy định sau: </w:t>
      </w:r>
    </w:p>
    <w:p w:rsidR="00964D1B" w:rsidRPr="00C04653" w:rsidRDefault="00964D1B" w:rsidP="00F33E00">
      <w:pPr>
        <w:widowControl w:val="0"/>
        <w:spacing w:before="100" w:after="100" w:line="360" w:lineRule="atLeast"/>
        <w:ind w:firstLine="720"/>
        <w:jc w:val="both"/>
        <w:rPr>
          <w:rFonts w:ascii="Times New Roman" w:eastAsia="Times New Roman" w:hAnsi="Times New Roman" w:cs="Times New Roman"/>
          <w:i/>
          <w:spacing w:val="2"/>
          <w:sz w:val="28"/>
          <w:szCs w:val="28"/>
          <w:lang w:eastAsia="vi-VN"/>
        </w:rPr>
      </w:pPr>
      <w:r w:rsidRPr="00C04653">
        <w:rPr>
          <w:rFonts w:ascii="Times New Roman" w:hAnsi="Times New Roman" w:cs="Times New Roman"/>
          <w:spacing w:val="2"/>
          <w:sz w:val="28"/>
          <w:szCs w:val="28"/>
          <w:lang w:val="nl-NL"/>
        </w:rPr>
        <w:t xml:space="preserve">- </w:t>
      </w:r>
      <w:r w:rsidRPr="00C04653">
        <w:rPr>
          <w:rFonts w:ascii="Times New Roman" w:eastAsia="Times New Roman" w:hAnsi="Times New Roman" w:cs="Times New Roman"/>
          <w:spacing w:val="2"/>
          <w:sz w:val="28"/>
          <w:szCs w:val="28"/>
          <w:lang w:eastAsia="vi-VN"/>
        </w:rPr>
        <w:t>Ngoài những trường hợp bắt buộc trưng cầu giám định theo quy định của pháp luật tố tụng hình sự, khi cần có đánh giá, kết luận của tổ chức, người giám định tư pháp về chuyên mônđối với những vấn đề có liên quan trong vụ án, vụ việc để chứng minh hành vi phạm tội, thiệt hại, hậu quả của hành vi phạm tội thì cơ quan có thẩm quyền tiến hành tố tụng, người có thẩm quyền tiến hành tố tụng ra quyết định trưng cầu giám định; trong trường hợp đã có chứng cứ, tài liệu xác định được nội dung cần chứng minh theo quy định của pháp luật tố tụng thì không tiến hành trưng cầu giám định tư pháp</w:t>
      </w:r>
      <w:r w:rsidRPr="00C04653">
        <w:rPr>
          <w:rFonts w:ascii="Times New Roman" w:hAnsi="Times New Roman" w:cs="Times New Roman"/>
          <w:spacing w:val="2"/>
          <w:sz w:val="28"/>
          <w:szCs w:val="28"/>
          <w:lang w:val="nl-NL"/>
        </w:rPr>
        <w:t>(khoản 1 Điều 25</w:t>
      </w:r>
      <w:r w:rsidR="00545916" w:rsidRPr="00C04653">
        <w:rPr>
          <w:rFonts w:ascii="Times New Roman" w:hAnsi="Times New Roman" w:cs="Times New Roman"/>
          <w:spacing w:val="2"/>
          <w:sz w:val="28"/>
          <w:szCs w:val="28"/>
          <w:lang w:val="nl-NL"/>
        </w:rPr>
        <w:t xml:space="preserve"> được sửa đổi, bổ sung</w:t>
      </w:r>
      <w:r w:rsidRPr="00C04653">
        <w:rPr>
          <w:rFonts w:ascii="Times New Roman" w:hAnsi="Times New Roman" w:cs="Times New Roman"/>
          <w:spacing w:val="2"/>
          <w:sz w:val="28"/>
          <w:szCs w:val="28"/>
          <w:lang w:val="nl-NL"/>
        </w:rPr>
        <w:t xml:space="preserve">). </w:t>
      </w:r>
    </w:p>
    <w:p w:rsidR="00964D1B" w:rsidRPr="00C04653" w:rsidRDefault="00964D1B" w:rsidP="00F33E00">
      <w:pPr>
        <w:pStyle w:val="PlainText"/>
        <w:widowControl w:val="0"/>
        <w:spacing w:before="100" w:after="100" w:line="360" w:lineRule="atLeast"/>
        <w:ind w:firstLine="720"/>
        <w:jc w:val="both"/>
        <w:rPr>
          <w:rFonts w:ascii="Times New Roman" w:hAnsi="Times New Roman"/>
          <w:sz w:val="28"/>
          <w:szCs w:val="28"/>
        </w:rPr>
      </w:pPr>
      <w:r w:rsidRPr="00C04653">
        <w:rPr>
          <w:rFonts w:ascii="Times New Roman" w:hAnsi="Times New Roman"/>
          <w:sz w:val="28"/>
          <w:szCs w:val="28"/>
          <w:lang w:val="nl-NL"/>
        </w:rPr>
        <w:t xml:space="preserve">- </w:t>
      </w:r>
      <w:r w:rsidRPr="00C04653">
        <w:rPr>
          <w:rFonts w:ascii="Times New Roman" w:hAnsi="Times New Roman"/>
          <w:sz w:val="28"/>
          <w:szCs w:val="28"/>
        </w:rPr>
        <w:t xml:space="preserve">Trường hợp </w:t>
      </w:r>
      <w:r w:rsidRPr="00C04653">
        <w:rPr>
          <w:rFonts w:ascii="Times New Roman" w:hAnsi="Times New Roman"/>
          <w:sz w:val="28"/>
          <w:szCs w:val="28"/>
          <w:lang w:val="vi-VN"/>
        </w:rPr>
        <w:t xml:space="preserve">nội dung trưng cầu giám định liên quan đến nhiều lĩnh vực, thuộc trách nhiệm của nhiều cơ quan, tổ chức thì người </w:t>
      </w:r>
      <w:r w:rsidRPr="00C04653">
        <w:rPr>
          <w:rFonts w:ascii="Times New Roman" w:hAnsi="Times New Roman"/>
          <w:sz w:val="28"/>
          <w:szCs w:val="28"/>
        </w:rPr>
        <w:t>trưng cầu giám định</w:t>
      </w:r>
      <w:r w:rsidRPr="00C04653">
        <w:rPr>
          <w:rFonts w:ascii="Times New Roman" w:hAnsi="Times New Roman"/>
          <w:sz w:val="28"/>
          <w:szCs w:val="28"/>
          <w:lang w:val="vi-VN"/>
        </w:rPr>
        <w:t xml:space="preserve"> phải xác định nội dung, lĩnh vực chính cần giám định và cơ quan, tổ chức chủ trì,</w:t>
      </w:r>
      <w:r w:rsidRPr="00C04653">
        <w:rPr>
          <w:rFonts w:ascii="Times New Roman" w:hAnsi="Times New Roman"/>
          <w:sz w:val="28"/>
          <w:szCs w:val="28"/>
        </w:rPr>
        <w:t xml:space="preserve"> cơ quan, tổ chức phối hợp tiếp nhận trưng cầu, thực hiện giám định.</w:t>
      </w:r>
      <w:r w:rsidRPr="00C04653">
        <w:rPr>
          <w:rFonts w:ascii="Times New Roman" w:hAnsi="Times New Roman"/>
          <w:sz w:val="28"/>
          <w:szCs w:val="28"/>
          <w:lang w:val="nl-NL"/>
        </w:rPr>
        <w:t xml:space="preserve"> Quy định này nhằm khắc phục việc các cơ quan tiến hành tố tụng khó khăn khi cần trưng cầu giám định đối với các vụ án tham nhũng có quy mô lớn liên quan đến chuyên môn của nhiều Bộ, ngành khác nhau (7 Điều 25</w:t>
      </w:r>
      <w:r w:rsidR="00545916" w:rsidRPr="00C04653">
        <w:rPr>
          <w:rFonts w:ascii="Times New Roman" w:hAnsi="Times New Roman"/>
          <w:sz w:val="28"/>
          <w:szCs w:val="28"/>
          <w:lang w:val="nl-NL"/>
        </w:rPr>
        <w:t xml:space="preserve"> được sửa đổi, bổ sung</w:t>
      </w:r>
      <w:r w:rsidRPr="00C04653">
        <w:rPr>
          <w:rFonts w:ascii="Times New Roman" w:hAnsi="Times New Roman"/>
          <w:sz w:val="28"/>
          <w:szCs w:val="28"/>
          <w:lang w:val="nl-NL"/>
        </w:rPr>
        <w:t>).</w:t>
      </w:r>
    </w:p>
    <w:p w:rsidR="00964D1B" w:rsidRPr="00C04653" w:rsidRDefault="00964D1B" w:rsidP="00F33E00">
      <w:pPr>
        <w:widowControl w:val="0"/>
        <w:suppressAutoHyphens/>
        <w:spacing w:before="100" w:after="100" w:line="360" w:lineRule="atLeast"/>
        <w:ind w:firstLine="720"/>
        <w:jc w:val="both"/>
        <w:rPr>
          <w:rFonts w:ascii="Times New Roman" w:hAnsi="Times New Roman" w:cs="Times New Roman"/>
          <w:sz w:val="28"/>
          <w:szCs w:val="28"/>
          <w:lang w:val="nl-NL"/>
        </w:rPr>
      </w:pPr>
      <w:r w:rsidRPr="00C04653">
        <w:rPr>
          <w:rFonts w:ascii="Times New Roman" w:eastAsia="Times New Roman" w:hAnsi="Times New Roman" w:cs="Times New Roman"/>
          <w:sz w:val="28"/>
          <w:szCs w:val="28"/>
          <w:lang w:val="nl-NL"/>
        </w:rPr>
        <w:t xml:space="preserve">b) </w:t>
      </w:r>
      <w:r w:rsidRPr="00C04653">
        <w:rPr>
          <w:rFonts w:ascii="Times New Roman" w:hAnsi="Times New Roman" w:cs="Times New Roman"/>
          <w:sz w:val="28"/>
          <w:szCs w:val="28"/>
          <w:lang w:val="nl-NL"/>
        </w:rPr>
        <w:t>Bổ sung quy định về thời hạn giám định, tương thích với quy định của pháp luật tố tụng về thời hạn điều tra, truy tố, xét xử</w:t>
      </w:r>
    </w:p>
    <w:p w:rsidR="00964D1B" w:rsidRDefault="00964D1B" w:rsidP="00F33E00">
      <w:pPr>
        <w:widowControl w:val="0"/>
        <w:suppressAutoHyphens/>
        <w:spacing w:before="100" w:after="100" w:line="360" w:lineRule="atLeast"/>
        <w:ind w:firstLine="720"/>
        <w:jc w:val="both"/>
        <w:rPr>
          <w:rFonts w:ascii="Times New Roman" w:hAnsi="Times New Roman" w:cs="Times New Roman"/>
          <w:spacing w:val="-3"/>
          <w:sz w:val="28"/>
          <w:szCs w:val="28"/>
          <w:lang w:val="nl-NL"/>
        </w:rPr>
      </w:pPr>
      <w:r w:rsidRPr="00C04653">
        <w:rPr>
          <w:rFonts w:ascii="Times New Roman" w:hAnsi="Times New Roman" w:cs="Times New Roman"/>
          <w:spacing w:val="-3"/>
          <w:sz w:val="28"/>
          <w:szCs w:val="28"/>
          <w:lang w:val="nl-NL"/>
        </w:rPr>
        <w:t>Dự thảo bổ sung Điều 26a với nội dung: Thời hạn giám định đối với các trường hợp bắt buộc phải trưng cầu giám định được thực hiện theo quy định của pháp luật về tố tụng hình sự. Thời hạn giám định đối với các trường hợp khác tối đa là 03 tháng (thời hạn cụ thể sẽ do người trưng cầu giám định xác đị</w:t>
      </w:r>
      <w:r w:rsidR="005417AC" w:rsidRPr="00C04653">
        <w:rPr>
          <w:rFonts w:ascii="Times New Roman" w:hAnsi="Times New Roman" w:cs="Times New Roman"/>
          <w:spacing w:val="-3"/>
          <w:sz w:val="28"/>
          <w:szCs w:val="28"/>
          <w:lang w:val="nl-NL"/>
        </w:rPr>
        <w:t>nh</w:t>
      </w:r>
      <w:r w:rsidRPr="00C04653">
        <w:rPr>
          <w:rFonts w:ascii="Times New Roman" w:hAnsi="Times New Roman" w:cs="Times New Roman"/>
          <w:spacing w:val="-3"/>
          <w:sz w:val="28"/>
          <w:szCs w:val="28"/>
          <w:lang w:val="nl-NL"/>
        </w:rPr>
        <w:t xml:space="preserve"> trong quyết định trưng cầu căn cứ vào thời hạn giám định tối đa và tính chất từng vụ việc), thời hạn giám định có thể được gia hạn nhưng phải bảo đảm phù hợp với thời hạn điều tra, truy tố, xét xử theo quy định của pháp luật về tố tụng (pháp luật tố tụng hình sự thì thời hạn điều tra tối đa là 04 tháng và có thể gia hạn).</w:t>
      </w:r>
    </w:p>
    <w:p w:rsidR="00964D1B" w:rsidRPr="00C04653" w:rsidRDefault="00964D1B" w:rsidP="00F33E00">
      <w:pPr>
        <w:widowControl w:val="0"/>
        <w:spacing w:before="100" w:after="100" w:line="360" w:lineRule="atLeast"/>
        <w:ind w:firstLine="720"/>
        <w:jc w:val="both"/>
        <w:rPr>
          <w:rFonts w:ascii="Times New Roman" w:hAnsi="Times New Roman" w:cs="Times New Roman"/>
          <w:sz w:val="28"/>
          <w:szCs w:val="28"/>
          <w:lang w:val="nl-NL"/>
        </w:rPr>
      </w:pPr>
      <w:r w:rsidRPr="00C04653">
        <w:rPr>
          <w:rFonts w:ascii="Times New Roman" w:eastAsia="Times New Roman" w:hAnsi="Times New Roman" w:cs="Times New Roman"/>
          <w:sz w:val="28"/>
          <w:szCs w:val="28"/>
          <w:lang w:val="nl-NL"/>
        </w:rPr>
        <w:t xml:space="preserve">c) Sửa đổi, </w:t>
      </w:r>
      <w:r w:rsidRPr="00C04653">
        <w:rPr>
          <w:rFonts w:ascii="Times New Roman" w:hAnsi="Times New Roman" w:cs="Times New Roman"/>
          <w:sz w:val="28"/>
          <w:szCs w:val="28"/>
          <w:lang w:val="nl-NL"/>
        </w:rPr>
        <w:t>bổ sung quy định về trưng cầu và tiếp nhận thực hiện giám định lần đầu</w:t>
      </w:r>
    </w:p>
    <w:p w:rsidR="00964D1B" w:rsidRPr="00C04653" w:rsidRDefault="00964D1B" w:rsidP="00F33E00">
      <w:pPr>
        <w:widowControl w:val="0"/>
        <w:spacing w:before="100" w:after="100" w:line="360" w:lineRule="atLeast"/>
        <w:ind w:firstLine="720"/>
        <w:jc w:val="both"/>
        <w:rPr>
          <w:rFonts w:ascii="Times New Roman" w:hAnsi="Times New Roman" w:cs="Times New Roman"/>
          <w:spacing w:val="-4"/>
          <w:sz w:val="28"/>
          <w:szCs w:val="28"/>
          <w:lang w:val="nl-NL"/>
        </w:rPr>
      </w:pPr>
      <w:r w:rsidRPr="00C04653">
        <w:rPr>
          <w:rFonts w:ascii="Times New Roman" w:hAnsi="Times New Roman" w:cs="Times New Roman"/>
          <w:spacing w:val="-4"/>
          <w:sz w:val="28"/>
          <w:szCs w:val="28"/>
          <w:lang w:val="nl-NL"/>
        </w:rPr>
        <w:t xml:space="preserve">Để khắc phục tình trạng cơ quan tố tụng các cấp hiện nay chỉ tập trung trưng </w:t>
      </w:r>
      <w:r w:rsidRPr="00C04653">
        <w:rPr>
          <w:rFonts w:ascii="Times New Roman" w:hAnsi="Times New Roman" w:cs="Times New Roman"/>
          <w:spacing w:val="-4"/>
          <w:sz w:val="28"/>
          <w:szCs w:val="28"/>
          <w:lang w:val="nl-NL"/>
        </w:rPr>
        <w:lastRenderedPageBreak/>
        <w:t xml:space="preserve">cầu một số bộ, cơ quan ngang bộ ở trung ương mà ít trưng cầu cơ quan, tổ chức ở địa phương, gây quá tải cho các cơ quan trung ương, trong khi hệ thống tổ chức giám định ở địa phương đã được thành lập và đầu tư về nhân lực, cơ sở vật chất, đủ điều kiện để thực hiện giám định, dự thảo Luật sửa đổi, bổ sung khoản 4 Điều 25 có tính chất “phân tuyến” việc trưng cầu và thực hiện giám định với nội dung: </w:t>
      </w:r>
      <w:r w:rsidRPr="00C04653">
        <w:rPr>
          <w:rFonts w:ascii="Times New Roman" w:hAnsi="Times New Roman" w:cs="Times New Roman"/>
          <w:spacing w:val="-4"/>
          <w:sz w:val="28"/>
          <w:szCs w:val="28"/>
        </w:rPr>
        <w:t>Đối với giám định lần đầu, người trưng cầu giám định ở cấp huyện, cấp tỉnh trưng cầu cá nhân, tổ chức giám định trên địa bàn cấp tỉnh thực hiện giám định.Trường hợp nội dung cần giám định lần đầu vượt quá năng lực, điều kiện giám định của cá nhân, tổ chức giám định ở địa phương thì người trưng cầu giám định trưng cầu cá nhân, tổ chức giám định ở địa phương khác có đủ điều kiện hoặc trưng cầu cá nhân, tổ chức giám định ở cấp trung ương thực hiện giám định</w:t>
      </w:r>
      <w:r w:rsidRPr="00C04653">
        <w:rPr>
          <w:rFonts w:ascii="Times New Roman" w:hAnsi="Times New Roman" w:cs="Times New Roman"/>
          <w:spacing w:val="-4"/>
          <w:sz w:val="28"/>
          <w:szCs w:val="28"/>
          <w:lang w:val="en-US"/>
        </w:rPr>
        <w:t xml:space="preserve">. </w:t>
      </w:r>
      <w:r w:rsidRPr="00C04653">
        <w:rPr>
          <w:rFonts w:ascii="Times New Roman" w:hAnsi="Times New Roman" w:cs="Times New Roman"/>
          <w:spacing w:val="-4"/>
          <w:sz w:val="28"/>
          <w:szCs w:val="28"/>
        </w:rPr>
        <w:t xml:space="preserve">Người trưng cầu giám định ở cấp </w:t>
      </w:r>
      <w:r w:rsidRPr="00C04653">
        <w:rPr>
          <w:rFonts w:ascii="Times New Roman" w:hAnsi="Times New Roman" w:cs="Times New Roman"/>
          <w:spacing w:val="-4"/>
          <w:sz w:val="28"/>
          <w:szCs w:val="28"/>
          <w:lang w:val="en-US"/>
        </w:rPr>
        <w:t>t</w:t>
      </w:r>
      <w:r w:rsidRPr="00C04653">
        <w:rPr>
          <w:rFonts w:ascii="Times New Roman" w:hAnsi="Times New Roman" w:cs="Times New Roman"/>
          <w:spacing w:val="-4"/>
          <w:sz w:val="28"/>
          <w:szCs w:val="28"/>
        </w:rPr>
        <w:t xml:space="preserve">rung ương trưng cầu cá nhân, tổ chức giám định tư pháp ở cấp </w:t>
      </w:r>
      <w:r w:rsidR="005417AC" w:rsidRPr="00C04653">
        <w:rPr>
          <w:rFonts w:ascii="Times New Roman" w:hAnsi="Times New Roman" w:cs="Times New Roman"/>
          <w:spacing w:val="-4"/>
          <w:sz w:val="28"/>
          <w:szCs w:val="28"/>
          <w:lang w:val="en-US"/>
        </w:rPr>
        <w:t>t</w:t>
      </w:r>
      <w:r w:rsidRPr="00C04653">
        <w:rPr>
          <w:rFonts w:ascii="Times New Roman" w:hAnsi="Times New Roman" w:cs="Times New Roman"/>
          <w:spacing w:val="-4"/>
          <w:sz w:val="28"/>
          <w:szCs w:val="28"/>
        </w:rPr>
        <w:t>rung ương</w:t>
      </w:r>
      <w:r w:rsidRPr="00C04653">
        <w:rPr>
          <w:rFonts w:ascii="Times New Roman" w:hAnsi="Times New Roman" w:cs="Times New Roman"/>
          <w:spacing w:val="-4"/>
          <w:sz w:val="28"/>
          <w:szCs w:val="28"/>
          <w:lang w:val="en-US"/>
        </w:rPr>
        <w:t xml:space="preserve"> hoặc ở địa phương</w:t>
      </w:r>
      <w:r w:rsidRPr="00C04653">
        <w:rPr>
          <w:rFonts w:ascii="Times New Roman" w:hAnsi="Times New Roman" w:cs="Times New Roman"/>
          <w:spacing w:val="-4"/>
          <w:sz w:val="28"/>
          <w:szCs w:val="28"/>
        </w:rPr>
        <w:t xml:space="preserve"> thực hiện</w:t>
      </w:r>
      <w:r w:rsidRPr="00C04653">
        <w:rPr>
          <w:rFonts w:ascii="Times New Roman" w:hAnsi="Times New Roman" w:cs="Times New Roman"/>
          <w:spacing w:val="-4"/>
          <w:sz w:val="28"/>
          <w:szCs w:val="28"/>
          <w:lang w:val="en-US"/>
        </w:rPr>
        <w:t xml:space="preserve"> giám định</w:t>
      </w:r>
      <w:r w:rsidRPr="00C04653">
        <w:rPr>
          <w:rFonts w:ascii="Times New Roman" w:hAnsi="Times New Roman" w:cs="Times New Roman"/>
          <w:spacing w:val="-4"/>
          <w:sz w:val="28"/>
          <w:szCs w:val="28"/>
          <w:lang w:val="nl-NL"/>
        </w:rPr>
        <w:t>. Quy định như vậy là phù hợp với thực tiễn, đồng thời vẫn bảo đảm nguyên tắc cơ quan tiến hành tố tụng, người tiến hành tố tụng có quyền tự lựa chọn trưng cầu cơ quan, tổ chức thực hiện giám định theo quy định của Bộ luật tố tụng hình sự.</w:t>
      </w:r>
    </w:p>
    <w:p w:rsidR="00964D1B" w:rsidRPr="00C04653" w:rsidRDefault="00964D1B" w:rsidP="00F33E00">
      <w:pPr>
        <w:widowControl w:val="0"/>
        <w:spacing w:before="100" w:after="100" w:line="360" w:lineRule="atLeast"/>
        <w:ind w:firstLine="720"/>
        <w:jc w:val="both"/>
        <w:rPr>
          <w:rFonts w:ascii="Times New Roman" w:hAnsi="Times New Roman" w:cs="Times New Roman"/>
          <w:sz w:val="28"/>
          <w:szCs w:val="28"/>
          <w:lang w:val="nl-NL"/>
        </w:rPr>
      </w:pPr>
      <w:r w:rsidRPr="00C04653">
        <w:rPr>
          <w:rFonts w:ascii="Times New Roman" w:hAnsi="Times New Roman" w:cs="Times New Roman"/>
          <w:sz w:val="28"/>
          <w:szCs w:val="28"/>
          <w:lang w:val="nl-NL"/>
        </w:rPr>
        <w:t>d) Bổ sung quy định liên quan đến quyền và trách nhiệm của cơ quan trưng cầu và cá nhân, tổ chức được trưng cầu</w:t>
      </w:r>
    </w:p>
    <w:p w:rsidR="00964D1B" w:rsidRPr="00C04653" w:rsidRDefault="00964D1B" w:rsidP="00F33E00">
      <w:pPr>
        <w:widowControl w:val="0"/>
        <w:suppressAutoHyphens/>
        <w:spacing w:before="100" w:after="100" w:line="360" w:lineRule="atLeast"/>
        <w:ind w:firstLine="720"/>
        <w:jc w:val="both"/>
        <w:rPr>
          <w:rFonts w:ascii="Times New Roman" w:hAnsi="Times New Roman" w:cs="Times New Roman"/>
          <w:sz w:val="28"/>
          <w:szCs w:val="28"/>
          <w:lang w:val="nl-NL"/>
        </w:rPr>
      </w:pPr>
      <w:r w:rsidRPr="00C04653">
        <w:rPr>
          <w:rFonts w:ascii="Times New Roman" w:hAnsi="Times New Roman" w:cs="Times New Roman"/>
          <w:sz w:val="28"/>
          <w:szCs w:val="28"/>
          <w:lang w:val="nl-NL"/>
        </w:rPr>
        <w:t xml:space="preserve">Để nâng cao trách nhiệm của bên trưng cầu và bên được trưng cầu, khắc phục tình trạng trưng cầu giám định không rõ ràng hoặc né tránh thực hiện giám định, dự thảo Luật sửa đổi, bổ sung Điều 21 như sau: Người trưng cầu giám định có nghĩa vụ xác định </w:t>
      </w:r>
      <w:r w:rsidRPr="00C04653">
        <w:rPr>
          <w:rFonts w:ascii="Times New Roman" w:hAnsi="Times New Roman" w:cs="Times New Roman"/>
          <w:sz w:val="28"/>
          <w:szCs w:val="28"/>
        </w:rPr>
        <w:t>rõ nội dung,lĩnh vực hoặc chuyên ngành cần giám định trong vụ án, vụ việc đang giải quyết;</w:t>
      </w:r>
      <w:r w:rsidRPr="00C04653">
        <w:rPr>
          <w:rFonts w:ascii="Times New Roman" w:eastAsia="Times New Roman" w:hAnsi="Times New Roman" w:cs="Times New Roman"/>
          <w:sz w:val="28"/>
          <w:szCs w:val="28"/>
          <w:lang w:val="en-US" w:eastAsia="vi-VN"/>
        </w:rPr>
        <w:t>c</w:t>
      </w:r>
      <w:r w:rsidRPr="00C04653">
        <w:rPr>
          <w:rFonts w:ascii="Times New Roman" w:eastAsia="Times New Roman" w:hAnsi="Times New Roman" w:cs="Times New Roman"/>
          <w:sz w:val="28"/>
          <w:szCs w:val="28"/>
          <w:lang w:eastAsia="vi-VN"/>
        </w:rPr>
        <w:t>ung cấp kịp thời, đầy đủ và chịu trách nhiệm trước pháp luật về thông tin, tài liệu, mẫu vật có liên quan đến đối tượng, nội dung cần giám định theo yêu cầu của cá nhân, tổ chức thực hiện giám định tư pháp</w:t>
      </w:r>
      <w:r w:rsidRPr="00C04653">
        <w:rPr>
          <w:rFonts w:ascii="Times New Roman" w:hAnsi="Times New Roman" w:cs="Times New Roman"/>
          <w:sz w:val="28"/>
          <w:szCs w:val="28"/>
          <w:lang w:val="nl-NL"/>
        </w:rPr>
        <w:t xml:space="preserve">. Tổ chức được trưng cầu có trách nhiệm phân công, bảo đảm thời gian thực hiện giám định cho người đã được phân công. Người giám định có trách nhiệm kết luận rõ ràng, nhận xét, đánh giá cụ thể về chuyên môn những nội dung được trưng cầu, yêu cầu giám định (điểm g khoản 1 Điều 32 được sửa đổi, bổ sung). </w:t>
      </w:r>
    </w:p>
    <w:p w:rsidR="00964D1B" w:rsidRPr="00C04653" w:rsidRDefault="00964D1B" w:rsidP="00F33E00">
      <w:pPr>
        <w:widowControl w:val="0"/>
        <w:spacing w:before="100" w:after="100" w:line="360" w:lineRule="atLeast"/>
        <w:ind w:firstLine="720"/>
        <w:jc w:val="both"/>
        <w:rPr>
          <w:rFonts w:ascii="Times New Roman" w:hAnsi="Times New Roman" w:cs="Times New Roman"/>
          <w:sz w:val="28"/>
          <w:szCs w:val="28"/>
          <w:lang w:val="nl-NL"/>
        </w:rPr>
      </w:pPr>
      <w:r w:rsidRPr="00C04653">
        <w:rPr>
          <w:rFonts w:ascii="Times New Roman" w:hAnsi="Times New Roman" w:cs="Times New Roman"/>
          <w:sz w:val="28"/>
          <w:szCs w:val="28"/>
          <w:lang w:val="nl-NL"/>
        </w:rPr>
        <w:t>đ) Xác định rõ trách nhiệm của các Bộ, ngành đối với công tác giám định tư pháp</w:t>
      </w:r>
    </w:p>
    <w:p w:rsidR="00964D1B" w:rsidRPr="00C04653" w:rsidRDefault="00525293" w:rsidP="00F33E00">
      <w:pPr>
        <w:widowControl w:val="0"/>
        <w:spacing w:before="100" w:after="100" w:line="360" w:lineRule="atLeast"/>
        <w:ind w:firstLine="720"/>
        <w:jc w:val="both"/>
        <w:rPr>
          <w:rFonts w:ascii="Times New Roman" w:hAnsi="Times New Roman" w:cs="Times New Roman"/>
          <w:color w:val="000000"/>
          <w:spacing w:val="-4"/>
          <w:sz w:val="28"/>
          <w:szCs w:val="28"/>
          <w:lang w:val="en-US"/>
        </w:rPr>
      </w:pPr>
      <w:r w:rsidRPr="00C04653">
        <w:rPr>
          <w:rFonts w:ascii="Times New Roman" w:hAnsi="Times New Roman" w:cs="Times New Roman"/>
          <w:spacing w:val="-4"/>
          <w:sz w:val="28"/>
          <w:szCs w:val="28"/>
          <w:lang w:val="nl-NL"/>
        </w:rPr>
        <w:t xml:space="preserve">- </w:t>
      </w:r>
      <w:r w:rsidR="00964D1B" w:rsidRPr="00C04653">
        <w:rPr>
          <w:rFonts w:ascii="Times New Roman" w:hAnsi="Times New Roman" w:cs="Times New Roman"/>
          <w:spacing w:val="-4"/>
          <w:sz w:val="28"/>
          <w:szCs w:val="28"/>
          <w:lang w:val="nl-NL"/>
        </w:rPr>
        <w:t>Nội dung và phân công thực hiện quản lý nhà nước về giám định tư pháp đã được quy định rõ trong Luật giám định tư pháp hiện hành, để tăng cường cơ chế thực hiện, dự thảo Luật bổ sung quy định: Bộ, ngành c</w:t>
      </w:r>
      <w:r w:rsidR="00964D1B" w:rsidRPr="00C04653">
        <w:rPr>
          <w:rFonts w:ascii="Times New Roman" w:hAnsi="Times New Roman" w:cs="Times New Roman"/>
          <w:color w:val="000000"/>
          <w:spacing w:val="-4"/>
          <w:sz w:val="28"/>
          <w:szCs w:val="28"/>
        </w:rPr>
        <w:t>hịu trách nhiệm trước Chính phủ, Thủ tướng Chính phủ về bảo đảm số lượng, chất lượng người giám định tư pháp, tổ chức giám định tư pháp</w:t>
      </w:r>
      <w:r w:rsidR="00964D1B" w:rsidRPr="00C04653">
        <w:rPr>
          <w:rFonts w:ascii="Times New Roman" w:hAnsi="Times New Roman" w:cs="Times New Roman"/>
          <w:color w:val="000000"/>
          <w:spacing w:val="-4"/>
          <w:sz w:val="28"/>
          <w:szCs w:val="28"/>
          <w:lang w:val="en-US"/>
        </w:rPr>
        <w:t xml:space="preserve"> thuộc lĩnh vực quản lý, phân công </w:t>
      </w:r>
      <w:r w:rsidR="00964D1B" w:rsidRPr="00C04653">
        <w:rPr>
          <w:rFonts w:ascii="Times New Roman" w:hAnsi="Times New Roman" w:cs="Times New Roman"/>
          <w:color w:val="000000"/>
          <w:spacing w:val="-4"/>
          <w:sz w:val="28"/>
          <w:szCs w:val="28"/>
        </w:rPr>
        <w:t xml:space="preserve">đơn vị đầu mối thuộc </w:t>
      </w:r>
      <w:r w:rsidR="00964D1B" w:rsidRPr="00C04653">
        <w:rPr>
          <w:rFonts w:ascii="Times New Roman" w:hAnsi="Times New Roman" w:cs="Times New Roman"/>
          <w:color w:val="000000"/>
          <w:spacing w:val="-4"/>
          <w:sz w:val="28"/>
          <w:szCs w:val="28"/>
          <w:lang w:val="en-US"/>
        </w:rPr>
        <w:t>b</w:t>
      </w:r>
      <w:r w:rsidR="00964D1B" w:rsidRPr="00C04653">
        <w:rPr>
          <w:rFonts w:ascii="Times New Roman" w:hAnsi="Times New Roman" w:cs="Times New Roman"/>
          <w:color w:val="000000"/>
          <w:spacing w:val="-4"/>
          <w:sz w:val="28"/>
          <w:szCs w:val="28"/>
        </w:rPr>
        <w:t xml:space="preserve">ộ, cơ quan ngang bộ </w:t>
      </w:r>
      <w:r w:rsidR="00964D1B" w:rsidRPr="00C04653">
        <w:rPr>
          <w:rFonts w:ascii="Times New Roman" w:hAnsi="Times New Roman" w:cs="Times New Roman"/>
          <w:color w:val="000000"/>
          <w:spacing w:val="-4"/>
          <w:sz w:val="28"/>
          <w:szCs w:val="28"/>
          <w:lang w:val="en-US"/>
        </w:rPr>
        <w:t>giúp</w:t>
      </w:r>
      <w:r w:rsidR="00964D1B" w:rsidRPr="00C04653">
        <w:rPr>
          <w:rFonts w:ascii="Times New Roman" w:hAnsi="Times New Roman" w:cs="Times New Roman"/>
          <w:color w:val="000000"/>
          <w:spacing w:val="-4"/>
          <w:sz w:val="28"/>
          <w:szCs w:val="28"/>
        </w:rPr>
        <w:t xml:space="preserve"> tham mưu trong công tác giám định tư pháp</w:t>
      </w:r>
      <w:r w:rsidR="00964D1B" w:rsidRPr="00C04653">
        <w:rPr>
          <w:rFonts w:ascii="Times New Roman" w:hAnsi="Times New Roman" w:cs="Times New Roman"/>
          <w:color w:val="000000"/>
          <w:spacing w:val="-4"/>
          <w:sz w:val="28"/>
          <w:szCs w:val="28"/>
          <w:lang w:val="en-US"/>
        </w:rPr>
        <w:t>(Điều 41 được sửa đổi, bổ sung).</w:t>
      </w:r>
    </w:p>
    <w:p w:rsidR="00525293" w:rsidRPr="00C04653" w:rsidRDefault="00525293" w:rsidP="00F33E00">
      <w:pPr>
        <w:widowControl w:val="0"/>
        <w:spacing w:before="100" w:after="100" w:line="360" w:lineRule="atLeast"/>
        <w:ind w:firstLine="720"/>
        <w:jc w:val="both"/>
        <w:rPr>
          <w:rFonts w:ascii="Times New Roman" w:hAnsi="Times New Roman" w:cs="Times New Roman"/>
          <w:color w:val="000000"/>
          <w:sz w:val="28"/>
          <w:szCs w:val="28"/>
          <w:lang w:val="en-US"/>
        </w:rPr>
      </w:pPr>
      <w:r w:rsidRPr="00C04653">
        <w:rPr>
          <w:rFonts w:ascii="Times New Roman" w:hAnsi="Times New Roman" w:cs="Times New Roman"/>
          <w:sz w:val="28"/>
          <w:szCs w:val="28"/>
          <w:lang w:val="nl-NL"/>
        </w:rPr>
        <w:lastRenderedPageBreak/>
        <w:t>- Để tăng cường huy động các cơ quan, tổ chức có chuyên môn cao vào hoạt động giám định, dự thảo Luật bổ sung quy định về trách nhiệm của Kiểm toán nhà nước trong t</w:t>
      </w:r>
      <w:r w:rsidRPr="00C04653">
        <w:rPr>
          <w:rFonts w:ascii="Times New Roman" w:hAnsi="Times New Roman" w:cs="Times New Roman"/>
          <w:color w:val="000000"/>
          <w:sz w:val="28"/>
          <w:szCs w:val="28"/>
        </w:rPr>
        <w:t>hực hiện giám định tư pháp khi được cơ quan tiến hành tố tụng trưng cầu</w:t>
      </w:r>
      <w:r w:rsidRPr="00C04653">
        <w:rPr>
          <w:rFonts w:ascii="Times New Roman" w:hAnsi="Times New Roman" w:cs="Times New Roman"/>
          <w:color w:val="000000"/>
          <w:sz w:val="28"/>
          <w:szCs w:val="28"/>
          <w:lang w:val="en-US"/>
        </w:rPr>
        <w:t xml:space="preserve"> (bổ sung Điều 41a). Theo quy định này, Kiểm toán nhà nước chỉ thực hiện giám định như một tổ chức giám định tư pháp theo vụ việc, không phải là cơ quan quản lý nhà nước về giám định tư pháp. </w:t>
      </w:r>
    </w:p>
    <w:p w:rsidR="00964D1B" w:rsidRPr="00C04653" w:rsidRDefault="00964D1B" w:rsidP="00F33E00">
      <w:pPr>
        <w:widowControl w:val="0"/>
        <w:spacing w:before="100" w:after="100" w:line="360" w:lineRule="atLeast"/>
        <w:ind w:firstLine="720"/>
        <w:jc w:val="both"/>
        <w:rPr>
          <w:rFonts w:ascii="Times New Roman" w:hAnsi="Times New Roman" w:cs="Times New Roman"/>
          <w:color w:val="000000"/>
          <w:spacing w:val="-4"/>
          <w:sz w:val="28"/>
          <w:szCs w:val="28"/>
          <w:lang w:val="en-US"/>
        </w:rPr>
      </w:pPr>
      <w:r w:rsidRPr="00C04653">
        <w:rPr>
          <w:rFonts w:ascii="Times New Roman" w:hAnsi="Times New Roman" w:cs="Times New Roman"/>
          <w:color w:val="000000"/>
          <w:spacing w:val="-4"/>
          <w:sz w:val="28"/>
          <w:szCs w:val="28"/>
          <w:lang w:val="en-US"/>
        </w:rPr>
        <w:t>e) Giám định phục vụ cho hoạt động thanh tra</w:t>
      </w:r>
    </w:p>
    <w:p w:rsidR="00964D1B" w:rsidRPr="00C04653" w:rsidRDefault="00964D1B" w:rsidP="00F33E00">
      <w:pPr>
        <w:widowControl w:val="0"/>
        <w:spacing w:before="100" w:after="100" w:line="360" w:lineRule="atLeast"/>
        <w:ind w:firstLine="720"/>
        <w:jc w:val="both"/>
        <w:rPr>
          <w:rFonts w:ascii="Times New Roman" w:hAnsi="Times New Roman" w:cs="Times New Roman"/>
          <w:sz w:val="28"/>
          <w:szCs w:val="28"/>
          <w:lang w:val="nl-NL"/>
        </w:rPr>
      </w:pPr>
      <w:r w:rsidRPr="00C04653">
        <w:rPr>
          <w:rFonts w:ascii="Times New Roman" w:hAnsi="Times New Roman" w:cs="Times New Roman"/>
          <w:sz w:val="28"/>
          <w:szCs w:val="28"/>
          <w:lang w:val="nl-NL"/>
        </w:rPr>
        <w:t>Dự thảo Luật bổ sung quy định liên quan đến giám định phục vụ cho hoạt động thanh tra (Điều 46 được sửa đổi, bổ sung).</w:t>
      </w:r>
    </w:p>
    <w:p w:rsidR="00964D1B" w:rsidRPr="00C04653" w:rsidRDefault="00964D1B" w:rsidP="00F33E00">
      <w:pPr>
        <w:widowControl w:val="0"/>
        <w:spacing w:before="100" w:after="100" w:line="360" w:lineRule="atLeast"/>
        <w:ind w:firstLine="720"/>
        <w:jc w:val="both"/>
        <w:rPr>
          <w:rFonts w:ascii="Times New Roman" w:hAnsi="Times New Roman" w:cs="Times New Roman"/>
          <w:spacing w:val="-4"/>
          <w:sz w:val="28"/>
          <w:szCs w:val="28"/>
          <w:lang w:val="nl-NL"/>
        </w:rPr>
      </w:pPr>
      <w:r w:rsidRPr="00C04653">
        <w:rPr>
          <w:rFonts w:ascii="Times New Roman" w:hAnsi="Times New Roman" w:cs="Times New Roman"/>
          <w:spacing w:val="-4"/>
          <w:sz w:val="28"/>
          <w:szCs w:val="28"/>
          <w:lang w:val="nl-NL"/>
        </w:rPr>
        <w:t>Theo quy định của Luật Thanh tra thì người ra quyết định thanh tra có quyền trưng cầu giám định về vấn đề liên quan đến nội dung thanh tra. Tuy nhiên, pháp luật về thanh tra chưa có quy định cụ thể về trình tự, thủ tục, trách nhiệm và nghĩa vụ của các bên trưng cầu và thực hiện giám đị</w:t>
      </w:r>
      <w:r w:rsidR="00D15B7C">
        <w:rPr>
          <w:rFonts w:ascii="Times New Roman" w:hAnsi="Times New Roman" w:cs="Times New Roman"/>
          <w:spacing w:val="-4"/>
          <w:sz w:val="28"/>
          <w:szCs w:val="28"/>
          <w:lang w:val="nl-NL"/>
        </w:rPr>
        <w:t>nh,</w:t>
      </w:r>
      <w:r w:rsidRPr="00C04653">
        <w:rPr>
          <w:rFonts w:ascii="Times New Roman" w:hAnsi="Times New Roman" w:cs="Times New Roman"/>
          <w:spacing w:val="-4"/>
          <w:sz w:val="28"/>
          <w:szCs w:val="28"/>
          <w:lang w:val="nl-NL"/>
        </w:rPr>
        <w:t>... Chính vì vậy, giám định phục vụ cho hoạt động thanh tra thời gian qua gặp khó khăn trong tổ chức thực hiện.</w:t>
      </w:r>
    </w:p>
    <w:p w:rsidR="00964D1B" w:rsidRPr="00C04653" w:rsidRDefault="00964D1B" w:rsidP="00F33E00">
      <w:pPr>
        <w:widowControl w:val="0"/>
        <w:spacing w:before="100" w:after="100" w:line="360" w:lineRule="atLeast"/>
        <w:ind w:firstLine="720"/>
        <w:jc w:val="both"/>
        <w:rPr>
          <w:rFonts w:ascii="Times New Roman" w:hAnsi="Times New Roman" w:cs="Times New Roman"/>
          <w:spacing w:val="-4"/>
          <w:sz w:val="28"/>
          <w:szCs w:val="28"/>
          <w:lang w:val="nl-NL"/>
        </w:rPr>
      </w:pPr>
      <w:r w:rsidRPr="00C04653">
        <w:rPr>
          <w:rFonts w:ascii="Times New Roman" w:hAnsi="Times New Roman" w:cs="Times New Roman"/>
          <w:spacing w:val="-4"/>
          <w:sz w:val="28"/>
          <w:szCs w:val="28"/>
          <w:lang w:val="nl-NL"/>
        </w:rPr>
        <w:t>Để khắc phục tình trạng nêu trên, nhằm kịp thời phục vụ yêu cầu đấu tranh phòng, chống tham nhũng hiện nay, dự thảo Luật bổ sung quy định: Trường hợp tổ chức giám định tư pháp, cơ quan, tổ chức chuyên môn quy định tại Luật này được cơ quan thanh tra trưng cầu giám định theo quy định của Luật Thanh tra thì áp dụng các quy định về tiếp nhận, thực hiện giám định và các quy định khác có liên quan của Luật này để thực hiện giám định. Kết luận giám định trong trường hợp này không phải là kết luận giám định tư pháp.</w:t>
      </w:r>
    </w:p>
    <w:p w:rsidR="00B03F3E" w:rsidRPr="00D15B7C" w:rsidRDefault="00B03F3E" w:rsidP="00F33E00">
      <w:pPr>
        <w:widowControl w:val="0"/>
        <w:spacing w:before="100" w:after="100" w:line="360" w:lineRule="atLeast"/>
        <w:ind w:firstLine="720"/>
        <w:jc w:val="both"/>
        <w:rPr>
          <w:rFonts w:ascii="Times New Roman" w:hAnsi="Times New Roman" w:cs="Times New Roman"/>
          <w:spacing w:val="-4"/>
          <w:sz w:val="28"/>
          <w:szCs w:val="28"/>
          <w:lang w:val="nl-NL"/>
        </w:rPr>
      </w:pPr>
      <w:r w:rsidRPr="00D15B7C">
        <w:rPr>
          <w:rFonts w:ascii="Times New Roman" w:hAnsi="Times New Roman" w:cs="Times New Roman"/>
          <w:spacing w:val="-4"/>
          <w:sz w:val="28"/>
          <w:szCs w:val="28"/>
          <w:lang w:val="nl-NL"/>
        </w:rPr>
        <w:t xml:space="preserve">Trên đây là nội dung chủ yếu </w:t>
      </w:r>
      <w:r w:rsidR="00D15B7C">
        <w:rPr>
          <w:rFonts w:ascii="Times New Roman" w:hAnsi="Times New Roman" w:cs="Times New Roman"/>
          <w:spacing w:val="-4"/>
          <w:sz w:val="28"/>
          <w:szCs w:val="28"/>
          <w:lang w:val="nl-NL"/>
        </w:rPr>
        <w:t>của</w:t>
      </w:r>
      <w:r w:rsidR="00F07C46" w:rsidRPr="00D15B7C">
        <w:rPr>
          <w:rFonts w:ascii="Times New Roman" w:hAnsi="Times New Roman" w:cs="Times New Roman"/>
          <w:spacing w:val="-4"/>
          <w:sz w:val="28"/>
          <w:szCs w:val="28"/>
          <w:lang w:val="nl-NL"/>
        </w:rPr>
        <w:t>D</w:t>
      </w:r>
      <w:r w:rsidRPr="00D15B7C">
        <w:rPr>
          <w:rFonts w:ascii="Times New Roman" w:hAnsi="Times New Roman" w:cs="Times New Roman"/>
          <w:spacing w:val="-4"/>
          <w:sz w:val="28"/>
          <w:szCs w:val="28"/>
          <w:lang w:val="nl-NL"/>
        </w:rPr>
        <w:t xml:space="preserve">ự án Luật </w:t>
      </w:r>
      <w:r w:rsidR="00F07C46" w:rsidRPr="00D15B7C">
        <w:rPr>
          <w:rFonts w:ascii="Times New Roman" w:hAnsi="Times New Roman" w:cs="Times New Roman"/>
          <w:spacing w:val="-4"/>
          <w:sz w:val="28"/>
          <w:szCs w:val="28"/>
          <w:lang w:val="nl-NL"/>
        </w:rPr>
        <w:t>sửa đổi, bổ sung một số điều của Luật giám định tư pháp</w:t>
      </w:r>
      <w:r w:rsidRPr="00D15B7C">
        <w:rPr>
          <w:rFonts w:ascii="Times New Roman" w:hAnsi="Times New Roman" w:cs="Times New Roman"/>
          <w:spacing w:val="-4"/>
          <w:sz w:val="28"/>
          <w:szCs w:val="28"/>
          <w:lang w:val="nl-NL"/>
        </w:rPr>
        <w:t>, Chính phủ kính trình Quốc hội xem xét, cho ý kiến./.</w:t>
      </w:r>
    </w:p>
    <w:tbl>
      <w:tblPr>
        <w:tblW w:w="9428" w:type="dxa"/>
        <w:tblInd w:w="108" w:type="dxa"/>
        <w:tblLook w:val="00A0"/>
      </w:tblPr>
      <w:tblGrid>
        <w:gridCol w:w="4820"/>
        <w:gridCol w:w="4608"/>
      </w:tblGrid>
      <w:tr w:rsidR="00742191" w:rsidRPr="00A1311A" w:rsidTr="006E7E62">
        <w:tc>
          <w:tcPr>
            <w:tcW w:w="4820" w:type="dxa"/>
          </w:tcPr>
          <w:p w:rsidR="00742191" w:rsidRDefault="00742191" w:rsidP="006E7E62">
            <w:pPr>
              <w:spacing w:after="0" w:line="240" w:lineRule="auto"/>
              <w:ind w:left="-108"/>
              <w:jc w:val="both"/>
              <w:rPr>
                <w:rFonts w:ascii="Times New Roman" w:hAnsi="Times New Roman" w:cs="Times New Roman"/>
                <w:b/>
                <w:i/>
                <w:lang w:val="fi-FI"/>
              </w:rPr>
            </w:pPr>
          </w:p>
          <w:p w:rsidR="00742191" w:rsidRPr="00E4049E" w:rsidRDefault="00742191" w:rsidP="006E7E62">
            <w:pPr>
              <w:spacing w:after="0" w:line="240" w:lineRule="atLeast"/>
              <w:jc w:val="both"/>
              <w:rPr>
                <w:rFonts w:ascii="Times New Roman" w:hAnsi="Times New Roman"/>
                <w:lang w:val="hr-HR"/>
              </w:rPr>
            </w:pPr>
            <w:r w:rsidRPr="00E4049E">
              <w:rPr>
                <w:rFonts w:ascii="Times New Roman" w:hAnsi="Times New Roman"/>
                <w:b/>
                <w:i/>
              </w:rPr>
              <w:t>N</w:t>
            </w:r>
            <w:r w:rsidRPr="00E4049E">
              <w:rPr>
                <w:rFonts w:ascii="Times New Roman" w:hAnsi="Times New Roman"/>
                <w:b/>
                <w:i/>
                <w:lang w:val="hr-HR"/>
              </w:rPr>
              <w:t>ơ</w:t>
            </w:r>
            <w:r w:rsidRPr="00E4049E">
              <w:rPr>
                <w:rFonts w:ascii="Times New Roman" w:hAnsi="Times New Roman"/>
                <w:b/>
                <w:i/>
              </w:rPr>
              <w:t>inhận</w:t>
            </w:r>
            <w:r w:rsidRPr="00E4049E">
              <w:rPr>
                <w:rFonts w:ascii="Times New Roman" w:hAnsi="Times New Roman"/>
                <w:lang w:val="hr-HR"/>
              </w:rPr>
              <w:t>:</w:t>
            </w:r>
          </w:p>
          <w:p w:rsidR="00742191"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Nh</w:t>
            </w:r>
            <w:r w:rsidRPr="00E4049E">
              <w:rPr>
                <w:rFonts w:ascii="Times New Roman" w:hAnsi="Times New Roman"/>
                <w:lang w:val="hr-HR"/>
              </w:rPr>
              <w:t xml:space="preserve">ư </w:t>
            </w:r>
            <w:r w:rsidRPr="00E4049E">
              <w:rPr>
                <w:rFonts w:ascii="Times New Roman" w:hAnsi="Times New Roman"/>
              </w:rPr>
              <w:t>tr</w:t>
            </w:r>
            <w:r w:rsidRPr="00E4049E">
              <w:rPr>
                <w:rFonts w:ascii="Times New Roman" w:hAnsi="Times New Roman"/>
                <w:lang w:val="hr-HR"/>
              </w:rPr>
              <w:t>ê</w:t>
            </w:r>
            <w:r w:rsidRPr="00E4049E">
              <w:rPr>
                <w:rFonts w:ascii="Times New Roman" w:hAnsi="Times New Roman"/>
              </w:rPr>
              <w:t>n</w:t>
            </w:r>
            <w:r w:rsidRPr="00E4049E">
              <w:rPr>
                <w:rFonts w:ascii="Times New Roman" w:hAnsi="Times New Roman"/>
                <w:lang w:val="hr-HR"/>
              </w:rPr>
              <w:t>;</w:t>
            </w:r>
          </w:p>
          <w:p w:rsidR="00742191" w:rsidRPr="00E4049E" w:rsidRDefault="00742191" w:rsidP="006E7E62">
            <w:pPr>
              <w:widowControl w:val="0"/>
              <w:spacing w:after="0" w:line="240" w:lineRule="atLeast"/>
              <w:jc w:val="both"/>
              <w:rPr>
                <w:rFonts w:ascii="Times New Roman" w:hAnsi="Times New Roman"/>
                <w:lang w:val="hr-HR"/>
              </w:rPr>
            </w:pPr>
            <w:r w:rsidRPr="0073780B">
              <w:rPr>
                <w:rFonts w:ascii="Times New Roman" w:hAnsi="Times New Roman"/>
                <w:lang w:val="hr-HR"/>
              </w:rPr>
              <w:t>-</w:t>
            </w:r>
            <w:r>
              <w:rPr>
                <w:rFonts w:ascii="Times New Roman" w:hAnsi="Times New Roman"/>
                <w:lang w:val="hr-HR"/>
              </w:rPr>
              <w:t xml:space="preserve"> Ủy ban Thường vụ Quốc hội;</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Thủt</w:t>
            </w:r>
            <w:r w:rsidRPr="00E4049E">
              <w:rPr>
                <w:rFonts w:ascii="Times New Roman" w:hAnsi="Times New Roman"/>
                <w:lang w:val="hr-HR"/>
              </w:rPr>
              <w:t>ư</w:t>
            </w:r>
            <w:r w:rsidRPr="00E4049E">
              <w:rPr>
                <w:rFonts w:ascii="Times New Roman" w:hAnsi="Times New Roman"/>
              </w:rPr>
              <w:t>ớngCh</w:t>
            </w:r>
            <w:r w:rsidRPr="00E4049E">
              <w:rPr>
                <w:rFonts w:ascii="Times New Roman" w:hAnsi="Times New Roman"/>
                <w:lang w:val="hr-HR"/>
              </w:rPr>
              <w:t>í</w:t>
            </w:r>
            <w:r w:rsidRPr="00E4049E">
              <w:rPr>
                <w:rFonts w:ascii="Times New Roman" w:hAnsi="Times New Roman"/>
              </w:rPr>
              <w:t>nhphủ</w:t>
            </w:r>
            <w:r w:rsidRPr="00E4049E">
              <w:rPr>
                <w:rFonts w:ascii="Times New Roman" w:hAnsi="Times New Roman"/>
                <w:lang w:val="hr-HR"/>
              </w:rPr>
              <w:t>;</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C</w:t>
            </w:r>
            <w:r w:rsidRPr="00E4049E">
              <w:rPr>
                <w:rFonts w:ascii="Times New Roman" w:hAnsi="Times New Roman"/>
                <w:lang w:val="hr-HR"/>
              </w:rPr>
              <w:t>á</w:t>
            </w:r>
            <w:r w:rsidRPr="00E4049E">
              <w:rPr>
                <w:rFonts w:ascii="Times New Roman" w:hAnsi="Times New Roman"/>
              </w:rPr>
              <w:t>cPh</w:t>
            </w:r>
            <w:r w:rsidRPr="00E4049E">
              <w:rPr>
                <w:rFonts w:ascii="Times New Roman" w:hAnsi="Times New Roman"/>
                <w:lang w:val="hr-HR"/>
              </w:rPr>
              <w:t xml:space="preserve">ó </w:t>
            </w:r>
            <w:r w:rsidRPr="00E4049E">
              <w:rPr>
                <w:rFonts w:ascii="Times New Roman" w:hAnsi="Times New Roman"/>
              </w:rPr>
              <w:t>Thủt</w:t>
            </w:r>
            <w:r w:rsidRPr="00E4049E">
              <w:rPr>
                <w:rFonts w:ascii="Times New Roman" w:hAnsi="Times New Roman"/>
                <w:lang w:val="hr-HR"/>
              </w:rPr>
              <w:t>ư</w:t>
            </w:r>
            <w:r w:rsidRPr="00E4049E">
              <w:rPr>
                <w:rFonts w:ascii="Times New Roman" w:hAnsi="Times New Roman"/>
              </w:rPr>
              <w:t>ớngCh</w:t>
            </w:r>
            <w:r w:rsidRPr="00E4049E">
              <w:rPr>
                <w:rFonts w:ascii="Times New Roman" w:hAnsi="Times New Roman"/>
                <w:lang w:val="hr-HR"/>
              </w:rPr>
              <w:t>í</w:t>
            </w:r>
            <w:r w:rsidRPr="00E4049E">
              <w:rPr>
                <w:rFonts w:ascii="Times New Roman" w:hAnsi="Times New Roman"/>
              </w:rPr>
              <w:t>nhphủ</w:t>
            </w:r>
            <w:r w:rsidRPr="00E4049E">
              <w:rPr>
                <w:rFonts w:ascii="Times New Roman" w:hAnsi="Times New Roman"/>
                <w:lang w:val="hr-HR"/>
              </w:rPr>
              <w:t>;</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Ủyban</w:t>
            </w:r>
            <w:r w:rsidRPr="00E4049E">
              <w:rPr>
                <w:rFonts w:ascii="Times New Roman" w:hAnsi="Times New Roman"/>
                <w:lang w:val="en-US"/>
              </w:rPr>
              <w:t>Tư pháp</w:t>
            </w:r>
            <w:r w:rsidRPr="00E4049E">
              <w:rPr>
                <w:rFonts w:ascii="Times New Roman" w:hAnsi="Times New Roman"/>
              </w:rPr>
              <w:t>củaQuốchội</w:t>
            </w:r>
            <w:r w:rsidRPr="00E4049E">
              <w:rPr>
                <w:rFonts w:ascii="Times New Roman" w:hAnsi="Times New Roman"/>
                <w:lang w:val="hr-HR"/>
              </w:rPr>
              <w:t>;</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Ủy ban Pháp luật của Quốc hội;</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Ủy ban Các vấn đề xã hội của Quốc hội;</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V</w:t>
            </w:r>
            <w:r w:rsidRPr="00E4049E">
              <w:rPr>
                <w:rFonts w:ascii="Times New Roman" w:hAnsi="Times New Roman"/>
                <w:lang w:val="hr-HR"/>
              </w:rPr>
              <w:t>ă</w:t>
            </w:r>
            <w:r w:rsidRPr="00E4049E">
              <w:rPr>
                <w:rFonts w:ascii="Times New Roman" w:hAnsi="Times New Roman"/>
              </w:rPr>
              <w:t>nph</w:t>
            </w:r>
            <w:r w:rsidRPr="00E4049E">
              <w:rPr>
                <w:rFonts w:ascii="Times New Roman" w:hAnsi="Times New Roman"/>
                <w:lang w:val="hr-HR"/>
              </w:rPr>
              <w:t>ò</w:t>
            </w:r>
            <w:r w:rsidRPr="00E4049E">
              <w:rPr>
                <w:rFonts w:ascii="Times New Roman" w:hAnsi="Times New Roman"/>
              </w:rPr>
              <w:t>ngQuốchội</w:t>
            </w:r>
            <w:r w:rsidRPr="00E4049E">
              <w:rPr>
                <w:rFonts w:ascii="Times New Roman" w:hAnsi="Times New Roman"/>
                <w:lang w:val="hr-HR"/>
              </w:rPr>
              <w:t>;</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V</w:t>
            </w:r>
            <w:r w:rsidRPr="00E4049E">
              <w:rPr>
                <w:rFonts w:ascii="Times New Roman" w:hAnsi="Times New Roman"/>
                <w:lang w:val="hr-HR"/>
              </w:rPr>
              <w:t>ă</w:t>
            </w:r>
            <w:r w:rsidRPr="00E4049E">
              <w:rPr>
                <w:rFonts w:ascii="Times New Roman" w:hAnsi="Times New Roman"/>
              </w:rPr>
              <w:t>nph</w:t>
            </w:r>
            <w:r w:rsidRPr="00E4049E">
              <w:rPr>
                <w:rFonts w:ascii="Times New Roman" w:hAnsi="Times New Roman"/>
                <w:lang w:val="hr-HR"/>
              </w:rPr>
              <w:t>ò</w:t>
            </w:r>
            <w:r w:rsidRPr="00E4049E">
              <w:rPr>
                <w:rFonts w:ascii="Times New Roman" w:hAnsi="Times New Roman"/>
              </w:rPr>
              <w:t>ngTrung</w:t>
            </w:r>
            <w:r w:rsidRPr="00E4049E">
              <w:rPr>
                <w:rFonts w:ascii="Times New Roman" w:hAnsi="Times New Roman"/>
                <w:lang w:val="hr-HR"/>
              </w:rPr>
              <w:t xml:space="preserve"> ươ</w:t>
            </w:r>
            <w:r w:rsidRPr="00E4049E">
              <w:rPr>
                <w:rFonts w:ascii="Times New Roman" w:hAnsi="Times New Roman"/>
              </w:rPr>
              <w:t>ng</w:t>
            </w:r>
            <w:r w:rsidRPr="00E4049E">
              <w:rPr>
                <w:rFonts w:ascii="Times New Roman" w:hAnsi="Times New Roman"/>
                <w:lang w:val="hr-HR"/>
              </w:rPr>
              <w:t xml:space="preserve"> Đ</w:t>
            </w:r>
            <w:r w:rsidRPr="00E4049E">
              <w:rPr>
                <w:rFonts w:ascii="Times New Roman" w:hAnsi="Times New Roman"/>
              </w:rPr>
              <w:t>ảng</w:t>
            </w:r>
            <w:r w:rsidRPr="00E4049E">
              <w:rPr>
                <w:rFonts w:ascii="Times New Roman" w:hAnsi="Times New Roman"/>
                <w:lang w:val="hr-HR"/>
              </w:rPr>
              <w:t>;</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V</w:t>
            </w:r>
            <w:r w:rsidRPr="00E4049E">
              <w:rPr>
                <w:rFonts w:ascii="Times New Roman" w:hAnsi="Times New Roman"/>
                <w:lang w:val="hr-HR"/>
              </w:rPr>
              <w:t>ă</w:t>
            </w:r>
            <w:r w:rsidRPr="00E4049E">
              <w:rPr>
                <w:rFonts w:ascii="Times New Roman" w:hAnsi="Times New Roman"/>
              </w:rPr>
              <w:t>nph</w:t>
            </w:r>
            <w:r w:rsidRPr="00E4049E">
              <w:rPr>
                <w:rFonts w:ascii="Times New Roman" w:hAnsi="Times New Roman"/>
                <w:lang w:val="hr-HR"/>
              </w:rPr>
              <w:t>ò</w:t>
            </w:r>
            <w:r w:rsidRPr="00E4049E">
              <w:rPr>
                <w:rFonts w:ascii="Times New Roman" w:hAnsi="Times New Roman"/>
              </w:rPr>
              <w:t>ngChủtịchn</w:t>
            </w:r>
            <w:r w:rsidRPr="00E4049E">
              <w:rPr>
                <w:rFonts w:ascii="Times New Roman" w:hAnsi="Times New Roman"/>
                <w:lang w:val="hr-HR"/>
              </w:rPr>
              <w:t>ư</w:t>
            </w:r>
            <w:r w:rsidRPr="00E4049E">
              <w:rPr>
                <w:rFonts w:ascii="Times New Roman" w:hAnsi="Times New Roman"/>
              </w:rPr>
              <w:t>ớc</w:t>
            </w:r>
            <w:r w:rsidRPr="00E4049E">
              <w:rPr>
                <w:rFonts w:ascii="Times New Roman" w:hAnsi="Times New Roman"/>
                <w:lang w:val="hr-HR"/>
              </w:rPr>
              <w:t>;</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C</w:t>
            </w:r>
            <w:r w:rsidRPr="00E4049E">
              <w:rPr>
                <w:rFonts w:ascii="Times New Roman" w:hAnsi="Times New Roman"/>
                <w:lang w:val="hr-HR"/>
              </w:rPr>
              <w:t>á</w:t>
            </w:r>
            <w:r w:rsidRPr="00E4049E">
              <w:rPr>
                <w:rFonts w:ascii="Times New Roman" w:hAnsi="Times New Roman"/>
              </w:rPr>
              <w:t>cBộ</w:t>
            </w:r>
            <w:r w:rsidRPr="00E4049E">
              <w:rPr>
                <w:rFonts w:ascii="Times New Roman" w:hAnsi="Times New Roman"/>
                <w:lang w:val="en-US"/>
              </w:rPr>
              <w:t>, cơ quan ngang Bộ</w:t>
            </w:r>
            <w:r w:rsidRPr="00E4049E">
              <w:rPr>
                <w:rFonts w:ascii="Times New Roman" w:hAnsi="Times New Roman"/>
                <w:lang w:val="hr-HR"/>
              </w:rPr>
              <w:t>;</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T</w:t>
            </w:r>
            <w:r w:rsidRPr="00E4049E">
              <w:rPr>
                <w:rFonts w:ascii="Times New Roman" w:hAnsi="Times New Roman"/>
                <w:lang w:val="hr-HR"/>
              </w:rPr>
              <w:t>ò</w:t>
            </w:r>
            <w:r w:rsidRPr="00E4049E">
              <w:rPr>
                <w:rFonts w:ascii="Times New Roman" w:hAnsi="Times New Roman"/>
              </w:rPr>
              <w:t>a</w:t>
            </w:r>
            <w:r w:rsidRPr="00E4049E">
              <w:rPr>
                <w:rFonts w:ascii="Times New Roman" w:hAnsi="Times New Roman"/>
                <w:lang w:val="hr-HR"/>
              </w:rPr>
              <w:t xml:space="preserve"> á</w:t>
            </w:r>
            <w:r w:rsidRPr="00E4049E">
              <w:rPr>
                <w:rFonts w:ascii="Times New Roman" w:hAnsi="Times New Roman"/>
              </w:rPr>
              <w:t>nnh</w:t>
            </w:r>
            <w:r w:rsidRPr="00E4049E">
              <w:rPr>
                <w:rFonts w:ascii="Times New Roman" w:hAnsi="Times New Roman"/>
                <w:lang w:val="hr-HR"/>
              </w:rPr>
              <w:t>â</w:t>
            </w:r>
            <w:r w:rsidRPr="00E4049E">
              <w:rPr>
                <w:rFonts w:ascii="Times New Roman" w:hAnsi="Times New Roman"/>
              </w:rPr>
              <w:t>nd</w:t>
            </w:r>
            <w:r w:rsidRPr="00E4049E">
              <w:rPr>
                <w:rFonts w:ascii="Times New Roman" w:hAnsi="Times New Roman"/>
                <w:lang w:val="hr-HR"/>
              </w:rPr>
              <w:t>â</w:t>
            </w:r>
            <w:r w:rsidRPr="00E4049E">
              <w:rPr>
                <w:rFonts w:ascii="Times New Roman" w:hAnsi="Times New Roman"/>
              </w:rPr>
              <w:t>ntốicao</w:t>
            </w:r>
            <w:r w:rsidRPr="00E4049E">
              <w:rPr>
                <w:rFonts w:ascii="Times New Roman" w:hAnsi="Times New Roman"/>
                <w:lang w:val="hr-HR"/>
              </w:rPr>
              <w:t>;</w:t>
            </w:r>
          </w:p>
          <w:p w:rsidR="00742191"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Việnkiểms</w:t>
            </w:r>
            <w:r w:rsidRPr="00E4049E">
              <w:rPr>
                <w:rFonts w:ascii="Times New Roman" w:hAnsi="Times New Roman"/>
                <w:lang w:val="hr-HR"/>
              </w:rPr>
              <w:t>á</w:t>
            </w:r>
            <w:r w:rsidRPr="00E4049E">
              <w:rPr>
                <w:rFonts w:ascii="Times New Roman" w:hAnsi="Times New Roman"/>
              </w:rPr>
              <w:t>tnh</w:t>
            </w:r>
            <w:r w:rsidRPr="00E4049E">
              <w:rPr>
                <w:rFonts w:ascii="Times New Roman" w:hAnsi="Times New Roman"/>
                <w:lang w:val="hr-HR"/>
              </w:rPr>
              <w:t>â</w:t>
            </w:r>
            <w:r w:rsidRPr="00E4049E">
              <w:rPr>
                <w:rFonts w:ascii="Times New Roman" w:hAnsi="Times New Roman"/>
              </w:rPr>
              <w:t>nd</w:t>
            </w:r>
            <w:r w:rsidRPr="00E4049E">
              <w:rPr>
                <w:rFonts w:ascii="Times New Roman" w:hAnsi="Times New Roman"/>
                <w:lang w:val="hr-HR"/>
              </w:rPr>
              <w:t>â</w:t>
            </w:r>
            <w:r w:rsidRPr="00E4049E">
              <w:rPr>
                <w:rFonts w:ascii="Times New Roman" w:hAnsi="Times New Roman"/>
              </w:rPr>
              <w:t>ntốicao</w:t>
            </w:r>
            <w:r w:rsidRPr="00E4049E">
              <w:rPr>
                <w:rFonts w:ascii="Times New Roman" w:hAnsi="Times New Roman"/>
                <w:lang w:val="hr-HR"/>
              </w:rPr>
              <w:t>;</w:t>
            </w:r>
          </w:p>
          <w:p w:rsidR="00742191" w:rsidRPr="00E4049E" w:rsidRDefault="00742191" w:rsidP="006E7E62">
            <w:pPr>
              <w:widowControl w:val="0"/>
              <w:spacing w:after="0" w:line="240" w:lineRule="atLeast"/>
              <w:jc w:val="both"/>
              <w:rPr>
                <w:rFonts w:ascii="Times New Roman" w:hAnsi="Times New Roman"/>
                <w:lang w:val="hr-HR"/>
              </w:rPr>
            </w:pPr>
            <w:r>
              <w:rPr>
                <w:rFonts w:ascii="Times New Roman" w:hAnsi="Times New Roman"/>
                <w:lang w:val="hr-HR"/>
              </w:rPr>
              <w:t>- Kiểm toán Nhà nước;</w:t>
            </w:r>
          </w:p>
          <w:p w:rsidR="00742191" w:rsidRPr="00E4049E" w:rsidRDefault="00742191" w:rsidP="006E7E62">
            <w:pPr>
              <w:widowControl w:val="0"/>
              <w:spacing w:after="0" w:line="240" w:lineRule="atLeast"/>
              <w:jc w:val="both"/>
              <w:rPr>
                <w:rFonts w:ascii="Times New Roman" w:hAnsi="Times New Roman"/>
                <w:lang w:val="hr-HR"/>
              </w:rPr>
            </w:pPr>
            <w:r w:rsidRPr="00E4049E">
              <w:rPr>
                <w:rFonts w:ascii="Times New Roman" w:hAnsi="Times New Roman"/>
                <w:lang w:val="hr-HR"/>
              </w:rPr>
              <w:t xml:space="preserve">- </w:t>
            </w:r>
            <w:r w:rsidRPr="00E4049E">
              <w:rPr>
                <w:rFonts w:ascii="Times New Roman" w:hAnsi="Times New Roman"/>
              </w:rPr>
              <w:t>VPCP</w:t>
            </w:r>
            <w:r w:rsidRPr="00E4049E">
              <w:rPr>
                <w:rFonts w:ascii="Times New Roman" w:hAnsi="Times New Roman"/>
                <w:lang w:val="hr-HR"/>
              </w:rPr>
              <w:t xml:space="preserve">: </w:t>
            </w:r>
            <w:r w:rsidRPr="00E4049E">
              <w:rPr>
                <w:rFonts w:ascii="Times New Roman" w:hAnsi="Times New Roman"/>
              </w:rPr>
              <w:t>BTCN</w:t>
            </w:r>
            <w:r w:rsidRPr="00E4049E">
              <w:rPr>
                <w:rFonts w:ascii="Times New Roman" w:hAnsi="Times New Roman"/>
                <w:lang w:val="hr-HR"/>
              </w:rPr>
              <w:t xml:space="preserve">, </w:t>
            </w:r>
            <w:r w:rsidRPr="00E4049E">
              <w:rPr>
                <w:rFonts w:ascii="Times New Roman" w:hAnsi="Times New Roman"/>
              </w:rPr>
              <w:t>c</w:t>
            </w:r>
            <w:r w:rsidRPr="00E4049E">
              <w:rPr>
                <w:rFonts w:ascii="Times New Roman" w:hAnsi="Times New Roman"/>
                <w:lang w:val="hr-HR"/>
              </w:rPr>
              <w:t>á</w:t>
            </w:r>
            <w:r w:rsidRPr="00E4049E">
              <w:rPr>
                <w:rFonts w:ascii="Times New Roman" w:hAnsi="Times New Roman"/>
              </w:rPr>
              <w:t>cPCN</w:t>
            </w:r>
            <w:r w:rsidRPr="00E4049E">
              <w:rPr>
                <w:rFonts w:ascii="Times New Roman" w:hAnsi="Times New Roman"/>
                <w:lang w:val="hr-HR"/>
              </w:rPr>
              <w:t>,</w:t>
            </w:r>
          </w:p>
          <w:p w:rsidR="00742191" w:rsidRPr="00B22DCD" w:rsidRDefault="00742191" w:rsidP="006E7E62">
            <w:pPr>
              <w:widowControl w:val="0"/>
              <w:spacing w:after="0" w:line="240" w:lineRule="atLeast"/>
              <w:jc w:val="both"/>
              <w:rPr>
                <w:rFonts w:ascii="Times New Roman" w:hAnsi="Times New Roman" w:cs="Times New Roman"/>
                <w:lang w:val="hr-HR"/>
              </w:rPr>
            </w:pPr>
            <w:r>
              <w:rPr>
                <w:rFonts w:ascii="Times New Roman" w:hAnsi="Times New Roman"/>
                <w:lang w:val="en-US"/>
              </w:rPr>
              <w:t>c</w:t>
            </w:r>
            <w:r w:rsidRPr="00B22DCD">
              <w:rPr>
                <w:rFonts w:ascii="Times New Roman" w:hAnsi="Times New Roman" w:cs="Times New Roman"/>
                <w:lang w:val="hr-HR"/>
              </w:rPr>
              <w:t>á</w:t>
            </w:r>
            <w:r w:rsidRPr="00B22DCD">
              <w:rPr>
                <w:rFonts w:ascii="Times New Roman" w:hAnsi="Times New Roman" w:cs="Times New Roman"/>
              </w:rPr>
              <w:t>cVụ</w:t>
            </w:r>
            <w:r w:rsidRPr="00B22DCD">
              <w:rPr>
                <w:rFonts w:ascii="Times New Roman" w:hAnsi="Times New Roman" w:cs="Times New Roman"/>
                <w:lang w:val="en-US"/>
              </w:rPr>
              <w:t xml:space="preserve">, Cục </w:t>
            </w:r>
            <w:r w:rsidRPr="00B22DCD">
              <w:rPr>
                <w:rFonts w:ascii="Times New Roman" w:hAnsi="Times New Roman" w:cs="Times New Roman"/>
                <w:lang w:val="fi-FI"/>
              </w:rPr>
              <w:t>KSTT;</w:t>
            </w:r>
          </w:p>
          <w:p w:rsidR="00742191" w:rsidRPr="00E4049E" w:rsidRDefault="00742191" w:rsidP="006E7E62">
            <w:pPr>
              <w:spacing w:after="0" w:line="240" w:lineRule="atLeast"/>
              <w:ind w:hanging="142"/>
              <w:jc w:val="both"/>
              <w:rPr>
                <w:rFonts w:ascii="Times New Roman" w:hAnsi="Times New Roman" w:cs="Times New Roman"/>
                <w:b/>
                <w:i/>
                <w:u w:val="single"/>
                <w:lang w:val="fi-FI"/>
              </w:rPr>
            </w:pPr>
            <w:r w:rsidRPr="00E4049E">
              <w:rPr>
                <w:rFonts w:ascii="Times New Roman" w:hAnsi="Times New Roman"/>
                <w:lang w:val="en-US"/>
              </w:rPr>
              <w:t xml:space="preserve">  - </w:t>
            </w:r>
            <w:r w:rsidRPr="00E4049E">
              <w:rPr>
                <w:rFonts w:ascii="Times New Roman" w:hAnsi="Times New Roman"/>
              </w:rPr>
              <w:t>Lưu: VT, PL (03b).</w:t>
            </w:r>
          </w:p>
          <w:p w:rsidR="00742191" w:rsidRPr="00A1311A" w:rsidRDefault="00742191" w:rsidP="006E7E62">
            <w:pPr>
              <w:spacing w:after="0" w:line="240" w:lineRule="atLeast"/>
              <w:ind w:hanging="142"/>
              <w:jc w:val="both"/>
              <w:rPr>
                <w:rFonts w:ascii="Times New Roman" w:hAnsi="Times New Roman" w:cs="Times New Roman"/>
                <w:b/>
                <w:i/>
                <w:u w:val="single"/>
                <w:lang w:val="fi-FI"/>
              </w:rPr>
            </w:pPr>
          </w:p>
        </w:tc>
        <w:tc>
          <w:tcPr>
            <w:tcW w:w="4608" w:type="dxa"/>
          </w:tcPr>
          <w:p w:rsidR="00742191" w:rsidRDefault="00742191" w:rsidP="006E7E62">
            <w:pPr>
              <w:spacing w:after="0" w:line="360" w:lineRule="atLeast"/>
              <w:jc w:val="center"/>
              <w:rPr>
                <w:rFonts w:ascii="Times New Roman" w:hAnsi="Times New Roman" w:cs="Times New Roman"/>
                <w:b/>
                <w:sz w:val="28"/>
                <w:szCs w:val="28"/>
                <w:lang w:val="en-US"/>
              </w:rPr>
            </w:pPr>
          </w:p>
          <w:p w:rsidR="00742191" w:rsidRPr="00C15666" w:rsidRDefault="00742191" w:rsidP="006E7E62">
            <w:pPr>
              <w:spacing w:after="0" w:line="240" w:lineRule="atLeast"/>
              <w:jc w:val="center"/>
              <w:rPr>
                <w:rFonts w:ascii="Times New Roman" w:hAnsi="Times New Roman"/>
                <w:b/>
                <w:sz w:val="28"/>
                <w:szCs w:val="28"/>
              </w:rPr>
            </w:pPr>
            <w:r w:rsidRPr="00C15666">
              <w:rPr>
                <w:rFonts w:ascii="Times New Roman" w:hAnsi="Times New Roman"/>
                <w:b/>
                <w:sz w:val="28"/>
                <w:szCs w:val="28"/>
              </w:rPr>
              <w:t xml:space="preserve">TM. CHÍNH PHỦ </w:t>
            </w:r>
          </w:p>
          <w:p w:rsidR="00742191" w:rsidRPr="00C15666" w:rsidRDefault="00742191" w:rsidP="006E7E62">
            <w:pPr>
              <w:spacing w:after="0" w:line="240" w:lineRule="atLeast"/>
              <w:jc w:val="center"/>
              <w:rPr>
                <w:rFonts w:ascii="Times New Roman" w:hAnsi="Times New Roman"/>
                <w:b/>
                <w:sz w:val="28"/>
                <w:szCs w:val="28"/>
              </w:rPr>
            </w:pPr>
            <w:r w:rsidRPr="00C15666">
              <w:rPr>
                <w:rFonts w:ascii="Times New Roman" w:hAnsi="Times New Roman"/>
                <w:b/>
                <w:sz w:val="28"/>
                <w:szCs w:val="28"/>
              </w:rPr>
              <w:t>TUQ. THỦ TƯỚNG</w:t>
            </w:r>
          </w:p>
          <w:p w:rsidR="00742191" w:rsidRPr="00C15666" w:rsidRDefault="00742191" w:rsidP="006E7E62">
            <w:pPr>
              <w:spacing w:after="0" w:line="240" w:lineRule="atLeast"/>
              <w:jc w:val="center"/>
              <w:rPr>
                <w:rFonts w:ascii="Times New Roman" w:hAnsi="Times New Roman"/>
                <w:b/>
                <w:sz w:val="28"/>
                <w:szCs w:val="28"/>
              </w:rPr>
            </w:pPr>
            <w:r w:rsidRPr="00C15666">
              <w:rPr>
                <w:rFonts w:ascii="Times New Roman" w:hAnsi="Times New Roman"/>
                <w:b/>
                <w:sz w:val="28"/>
                <w:szCs w:val="28"/>
              </w:rPr>
              <w:t>BỘ TRƯỞNG BỘ TƯ PHÁP</w:t>
            </w:r>
          </w:p>
          <w:p w:rsidR="00742191" w:rsidRPr="00C15666" w:rsidRDefault="00742191" w:rsidP="006E7E62">
            <w:pPr>
              <w:spacing w:after="0" w:line="240" w:lineRule="atLeast"/>
              <w:jc w:val="center"/>
              <w:rPr>
                <w:rFonts w:ascii="Times New Roman" w:hAnsi="Times New Roman"/>
                <w:b/>
                <w:sz w:val="28"/>
                <w:szCs w:val="28"/>
              </w:rPr>
            </w:pPr>
          </w:p>
          <w:p w:rsidR="00742191" w:rsidRPr="00C15666" w:rsidRDefault="00742191" w:rsidP="006E7E62">
            <w:pPr>
              <w:spacing w:after="0" w:line="240" w:lineRule="atLeast"/>
              <w:jc w:val="center"/>
              <w:rPr>
                <w:rFonts w:ascii="Times New Roman" w:hAnsi="Times New Roman"/>
                <w:sz w:val="28"/>
                <w:szCs w:val="28"/>
              </w:rPr>
            </w:pPr>
          </w:p>
          <w:p w:rsidR="00742191" w:rsidRPr="00C15666" w:rsidRDefault="00742191" w:rsidP="006E7E62">
            <w:pPr>
              <w:spacing w:after="0" w:line="240" w:lineRule="atLeast"/>
              <w:jc w:val="center"/>
              <w:rPr>
                <w:rFonts w:ascii="Times New Roman" w:hAnsi="Times New Roman"/>
                <w:sz w:val="28"/>
                <w:szCs w:val="28"/>
              </w:rPr>
            </w:pPr>
          </w:p>
          <w:p w:rsidR="00742191" w:rsidRPr="003E3BA2" w:rsidRDefault="003E3BA2" w:rsidP="006E7E62">
            <w:pPr>
              <w:spacing w:after="0" w:line="240" w:lineRule="atLeast"/>
              <w:jc w:val="center"/>
              <w:rPr>
                <w:rFonts w:ascii="Times New Roman" w:hAnsi="Times New Roman"/>
                <w:b/>
                <w:sz w:val="28"/>
                <w:szCs w:val="28"/>
                <w:lang w:val="en-US"/>
              </w:rPr>
            </w:pPr>
            <w:r>
              <w:rPr>
                <w:rFonts w:ascii="Times New Roman" w:hAnsi="Times New Roman"/>
                <w:b/>
                <w:sz w:val="28"/>
                <w:szCs w:val="28"/>
                <w:lang w:val="en-US"/>
              </w:rPr>
              <w:t>(</w:t>
            </w:r>
            <w:bookmarkStart w:id="0" w:name="_GoBack"/>
            <w:bookmarkEnd w:id="0"/>
            <w:r>
              <w:rPr>
                <w:rFonts w:ascii="Times New Roman" w:hAnsi="Times New Roman"/>
                <w:b/>
                <w:sz w:val="28"/>
                <w:szCs w:val="28"/>
                <w:lang w:val="en-US"/>
              </w:rPr>
              <w:t>đã ký)</w:t>
            </w:r>
          </w:p>
          <w:p w:rsidR="00742191" w:rsidRPr="00C15666" w:rsidRDefault="00742191" w:rsidP="006E7E62">
            <w:pPr>
              <w:spacing w:after="0" w:line="240" w:lineRule="atLeast"/>
              <w:jc w:val="center"/>
              <w:rPr>
                <w:rFonts w:ascii="Times New Roman" w:hAnsi="Times New Roman"/>
                <w:b/>
                <w:sz w:val="28"/>
                <w:szCs w:val="28"/>
              </w:rPr>
            </w:pPr>
          </w:p>
          <w:p w:rsidR="00742191" w:rsidRPr="00C15666" w:rsidRDefault="00742191" w:rsidP="006E7E62">
            <w:pPr>
              <w:spacing w:after="0" w:line="240" w:lineRule="atLeast"/>
              <w:jc w:val="center"/>
              <w:rPr>
                <w:rFonts w:ascii="Times New Roman" w:hAnsi="Times New Roman"/>
                <w:b/>
                <w:sz w:val="28"/>
                <w:szCs w:val="28"/>
              </w:rPr>
            </w:pPr>
          </w:p>
          <w:p w:rsidR="00742191" w:rsidRPr="00A1311A" w:rsidRDefault="00742191" w:rsidP="006E7E62">
            <w:pPr>
              <w:spacing w:after="0" w:line="360" w:lineRule="atLeast"/>
              <w:jc w:val="center"/>
              <w:rPr>
                <w:rFonts w:ascii="Times New Roman" w:hAnsi="Times New Roman" w:cs="Times New Roman"/>
                <w:b/>
                <w:sz w:val="28"/>
                <w:szCs w:val="28"/>
              </w:rPr>
            </w:pPr>
          </w:p>
          <w:p w:rsidR="00742191" w:rsidRPr="00A1311A" w:rsidRDefault="00742191" w:rsidP="006E7E62">
            <w:pPr>
              <w:spacing w:after="0" w:line="360" w:lineRule="atLeast"/>
              <w:jc w:val="center"/>
              <w:rPr>
                <w:rFonts w:ascii="Times New Roman" w:hAnsi="Times New Roman" w:cs="Times New Roman"/>
                <w:b/>
                <w:sz w:val="28"/>
                <w:szCs w:val="28"/>
              </w:rPr>
            </w:pPr>
            <w:r w:rsidRPr="00A1311A">
              <w:rPr>
                <w:rFonts w:ascii="Times New Roman" w:hAnsi="Times New Roman" w:cs="Times New Roman"/>
                <w:b/>
                <w:sz w:val="28"/>
                <w:szCs w:val="28"/>
              </w:rPr>
              <w:t>Lê Thành Long</w:t>
            </w:r>
          </w:p>
          <w:p w:rsidR="00742191" w:rsidRPr="00A1311A" w:rsidRDefault="00742191" w:rsidP="006E7E62">
            <w:pPr>
              <w:spacing w:after="0" w:line="360" w:lineRule="atLeast"/>
              <w:jc w:val="center"/>
              <w:rPr>
                <w:rFonts w:ascii="Times New Roman" w:hAnsi="Times New Roman" w:cs="Times New Roman"/>
                <w:b/>
                <w:sz w:val="28"/>
                <w:szCs w:val="28"/>
              </w:rPr>
            </w:pPr>
          </w:p>
          <w:p w:rsidR="00742191" w:rsidRPr="00A1311A" w:rsidRDefault="00742191" w:rsidP="006E7E62">
            <w:pPr>
              <w:spacing w:after="0" w:line="240" w:lineRule="atLeast"/>
              <w:jc w:val="center"/>
              <w:rPr>
                <w:rFonts w:ascii="Times New Roman" w:hAnsi="Times New Roman" w:cs="Times New Roman"/>
              </w:rPr>
            </w:pPr>
          </w:p>
        </w:tc>
      </w:tr>
    </w:tbl>
    <w:p w:rsidR="007179F7" w:rsidRPr="007179F7" w:rsidRDefault="007179F7" w:rsidP="00742191">
      <w:pPr>
        <w:pStyle w:val="BodyTextIndent"/>
        <w:widowControl w:val="0"/>
        <w:ind w:left="6109" w:firstLine="371"/>
        <w:rPr>
          <w:rFonts w:ascii="Times New Roman" w:hAnsi="Times New Roman"/>
          <w:b/>
        </w:rPr>
      </w:pPr>
    </w:p>
    <w:sectPr w:rsidR="007179F7" w:rsidRPr="007179F7" w:rsidSect="00F33E00">
      <w:footerReference w:type="default" r:id="rId7"/>
      <w:pgSz w:w="11907" w:h="16840" w:code="9"/>
      <w:pgMar w:top="1134" w:right="1134" w:bottom="1134" w:left="1644" w:header="720" w:footer="65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D12" w:rsidRDefault="00881D12" w:rsidP="0099296C">
      <w:pPr>
        <w:spacing w:after="0" w:line="240" w:lineRule="auto"/>
      </w:pPr>
      <w:r>
        <w:separator/>
      </w:r>
    </w:p>
  </w:endnote>
  <w:endnote w:type="continuationSeparator" w:id="1">
    <w:p w:rsidR="00881D12" w:rsidRDefault="00881D12" w:rsidP="00992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14276"/>
      <w:docPartObj>
        <w:docPartGallery w:val="Page Numbers (Bottom of Page)"/>
        <w:docPartUnique/>
      </w:docPartObj>
    </w:sdtPr>
    <w:sdtEndPr>
      <w:rPr>
        <w:rFonts w:ascii="Times New Roman" w:hAnsi="Times New Roman" w:cs="Times New Roman"/>
        <w:noProof/>
        <w:sz w:val="28"/>
        <w:szCs w:val="28"/>
      </w:rPr>
    </w:sdtEndPr>
    <w:sdtContent>
      <w:p w:rsidR="00BE780C" w:rsidRPr="00EA0C09" w:rsidRDefault="00235392">
        <w:pPr>
          <w:pStyle w:val="Footer"/>
          <w:jc w:val="right"/>
          <w:rPr>
            <w:rFonts w:ascii="Times New Roman" w:hAnsi="Times New Roman" w:cs="Times New Roman"/>
            <w:sz w:val="28"/>
            <w:szCs w:val="28"/>
          </w:rPr>
        </w:pPr>
        <w:r w:rsidRPr="00EA0C09">
          <w:rPr>
            <w:rFonts w:ascii="Times New Roman" w:hAnsi="Times New Roman" w:cs="Times New Roman"/>
            <w:sz w:val="28"/>
            <w:szCs w:val="28"/>
          </w:rPr>
          <w:fldChar w:fldCharType="begin"/>
        </w:r>
        <w:r w:rsidR="00BE780C" w:rsidRPr="00EA0C09">
          <w:rPr>
            <w:rFonts w:ascii="Times New Roman" w:hAnsi="Times New Roman" w:cs="Times New Roman"/>
            <w:sz w:val="28"/>
            <w:szCs w:val="28"/>
          </w:rPr>
          <w:instrText xml:space="preserve"> PAGE   \* MERGEFORMAT </w:instrText>
        </w:r>
        <w:r w:rsidRPr="00EA0C09">
          <w:rPr>
            <w:rFonts w:ascii="Times New Roman" w:hAnsi="Times New Roman" w:cs="Times New Roman"/>
            <w:sz w:val="28"/>
            <w:szCs w:val="28"/>
          </w:rPr>
          <w:fldChar w:fldCharType="separate"/>
        </w:r>
        <w:r w:rsidR="00166B3F">
          <w:rPr>
            <w:rFonts w:ascii="Times New Roman" w:hAnsi="Times New Roman" w:cs="Times New Roman"/>
            <w:noProof/>
            <w:sz w:val="28"/>
            <w:szCs w:val="28"/>
          </w:rPr>
          <w:t>2</w:t>
        </w:r>
        <w:r w:rsidRPr="00EA0C09">
          <w:rPr>
            <w:rFonts w:ascii="Times New Roman" w:hAnsi="Times New Roman" w:cs="Times New Roman"/>
            <w:noProof/>
            <w:sz w:val="28"/>
            <w:szCs w:val="28"/>
          </w:rPr>
          <w:fldChar w:fldCharType="end"/>
        </w:r>
      </w:p>
    </w:sdtContent>
  </w:sdt>
  <w:p w:rsidR="00561714" w:rsidRPr="002250AA" w:rsidRDefault="00561714" w:rsidP="002250A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D12" w:rsidRDefault="00881D12" w:rsidP="0099296C">
      <w:pPr>
        <w:spacing w:after="0" w:line="240" w:lineRule="auto"/>
      </w:pPr>
      <w:r>
        <w:separator/>
      </w:r>
    </w:p>
  </w:footnote>
  <w:footnote w:type="continuationSeparator" w:id="1">
    <w:p w:rsidR="00881D12" w:rsidRDefault="00881D12" w:rsidP="009929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9296C"/>
    <w:rsid w:val="000129A6"/>
    <w:rsid w:val="0004143F"/>
    <w:rsid w:val="000461B0"/>
    <w:rsid w:val="00053E1D"/>
    <w:rsid w:val="00057CF7"/>
    <w:rsid w:val="00065FCB"/>
    <w:rsid w:val="00070901"/>
    <w:rsid w:val="00080D69"/>
    <w:rsid w:val="000A1F24"/>
    <w:rsid w:val="000E1EBE"/>
    <w:rsid w:val="000E63AC"/>
    <w:rsid w:val="000F181A"/>
    <w:rsid w:val="001009A6"/>
    <w:rsid w:val="00122E79"/>
    <w:rsid w:val="00130C4A"/>
    <w:rsid w:val="00131BF2"/>
    <w:rsid w:val="00143F1D"/>
    <w:rsid w:val="00166B3F"/>
    <w:rsid w:val="00172A9E"/>
    <w:rsid w:val="00176169"/>
    <w:rsid w:val="00181FE3"/>
    <w:rsid w:val="00185C12"/>
    <w:rsid w:val="00186593"/>
    <w:rsid w:val="00187EDA"/>
    <w:rsid w:val="00190597"/>
    <w:rsid w:val="001A15D1"/>
    <w:rsid w:val="001A63AE"/>
    <w:rsid w:val="001C4AE8"/>
    <w:rsid w:val="001D4E73"/>
    <w:rsid w:val="001E2CC3"/>
    <w:rsid w:val="001F6E34"/>
    <w:rsid w:val="00203658"/>
    <w:rsid w:val="00203EA3"/>
    <w:rsid w:val="00216A54"/>
    <w:rsid w:val="00223C81"/>
    <w:rsid w:val="002250AA"/>
    <w:rsid w:val="00235392"/>
    <w:rsid w:val="002910B8"/>
    <w:rsid w:val="00297F7D"/>
    <w:rsid w:val="002A2215"/>
    <w:rsid w:val="002A3427"/>
    <w:rsid w:val="002A6E79"/>
    <w:rsid w:val="002B02AC"/>
    <w:rsid w:val="002B7554"/>
    <w:rsid w:val="002E1543"/>
    <w:rsid w:val="002E1C5C"/>
    <w:rsid w:val="002E52AE"/>
    <w:rsid w:val="002E7217"/>
    <w:rsid w:val="002F0095"/>
    <w:rsid w:val="002F22C1"/>
    <w:rsid w:val="00302671"/>
    <w:rsid w:val="00310EEF"/>
    <w:rsid w:val="00311372"/>
    <w:rsid w:val="003127C8"/>
    <w:rsid w:val="00342032"/>
    <w:rsid w:val="00351468"/>
    <w:rsid w:val="0036155D"/>
    <w:rsid w:val="00361DBD"/>
    <w:rsid w:val="00365035"/>
    <w:rsid w:val="00376C9F"/>
    <w:rsid w:val="003812E5"/>
    <w:rsid w:val="003851E6"/>
    <w:rsid w:val="00391990"/>
    <w:rsid w:val="00395C7D"/>
    <w:rsid w:val="003A3B71"/>
    <w:rsid w:val="003A726C"/>
    <w:rsid w:val="003B319A"/>
    <w:rsid w:val="003B40EF"/>
    <w:rsid w:val="003B60D7"/>
    <w:rsid w:val="003D5A2A"/>
    <w:rsid w:val="003E179F"/>
    <w:rsid w:val="003E3BA2"/>
    <w:rsid w:val="003E6B19"/>
    <w:rsid w:val="003E73E2"/>
    <w:rsid w:val="004162AE"/>
    <w:rsid w:val="004223B8"/>
    <w:rsid w:val="00435311"/>
    <w:rsid w:val="0043645F"/>
    <w:rsid w:val="00454ED9"/>
    <w:rsid w:val="0045587A"/>
    <w:rsid w:val="00460F07"/>
    <w:rsid w:val="004616CA"/>
    <w:rsid w:val="00471FBD"/>
    <w:rsid w:val="0047290A"/>
    <w:rsid w:val="00474B26"/>
    <w:rsid w:val="0049258D"/>
    <w:rsid w:val="0049279B"/>
    <w:rsid w:val="0049432D"/>
    <w:rsid w:val="004A2238"/>
    <w:rsid w:val="004B3DCA"/>
    <w:rsid w:val="004C7EDC"/>
    <w:rsid w:val="004D1553"/>
    <w:rsid w:val="00513978"/>
    <w:rsid w:val="005221E4"/>
    <w:rsid w:val="00525293"/>
    <w:rsid w:val="00530FD9"/>
    <w:rsid w:val="005417AC"/>
    <w:rsid w:val="00544997"/>
    <w:rsid w:val="00545916"/>
    <w:rsid w:val="00545D42"/>
    <w:rsid w:val="005601C6"/>
    <w:rsid w:val="00561714"/>
    <w:rsid w:val="005B1280"/>
    <w:rsid w:val="005B24D7"/>
    <w:rsid w:val="005F3F50"/>
    <w:rsid w:val="005F4338"/>
    <w:rsid w:val="005F4495"/>
    <w:rsid w:val="00635E23"/>
    <w:rsid w:val="0067112C"/>
    <w:rsid w:val="006A41E3"/>
    <w:rsid w:val="006B32C8"/>
    <w:rsid w:val="00712C50"/>
    <w:rsid w:val="007179F7"/>
    <w:rsid w:val="00725A3A"/>
    <w:rsid w:val="007347AE"/>
    <w:rsid w:val="00742191"/>
    <w:rsid w:val="00770A4A"/>
    <w:rsid w:val="0078389B"/>
    <w:rsid w:val="00796985"/>
    <w:rsid w:val="007B4A3F"/>
    <w:rsid w:val="007B4D0B"/>
    <w:rsid w:val="007C1477"/>
    <w:rsid w:val="007C4DC8"/>
    <w:rsid w:val="007E4FF0"/>
    <w:rsid w:val="007E6BE5"/>
    <w:rsid w:val="007F16A6"/>
    <w:rsid w:val="007F3341"/>
    <w:rsid w:val="007F3ADD"/>
    <w:rsid w:val="00804CD6"/>
    <w:rsid w:val="0082628F"/>
    <w:rsid w:val="00840FE9"/>
    <w:rsid w:val="0084577D"/>
    <w:rsid w:val="0085580A"/>
    <w:rsid w:val="008578B4"/>
    <w:rsid w:val="0086176B"/>
    <w:rsid w:val="0086539A"/>
    <w:rsid w:val="00880827"/>
    <w:rsid w:val="00881382"/>
    <w:rsid w:val="00881D12"/>
    <w:rsid w:val="00891B8D"/>
    <w:rsid w:val="008A02E5"/>
    <w:rsid w:val="008C13C0"/>
    <w:rsid w:val="008C343E"/>
    <w:rsid w:val="008C39D4"/>
    <w:rsid w:val="008D2C07"/>
    <w:rsid w:val="008E0929"/>
    <w:rsid w:val="008F270A"/>
    <w:rsid w:val="00900D90"/>
    <w:rsid w:val="0090548E"/>
    <w:rsid w:val="00905984"/>
    <w:rsid w:val="00907436"/>
    <w:rsid w:val="0092729C"/>
    <w:rsid w:val="00933814"/>
    <w:rsid w:val="00942B83"/>
    <w:rsid w:val="00963FB9"/>
    <w:rsid w:val="00964D1B"/>
    <w:rsid w:val="00964FC8"/>
    <w:rsid w:val="00965CBE"/>
    <w:rsid w:val="00966FF8"/>
    <w:rsid w:val="00974429"/>
    <w:rsid w:val="0097555C"/>
    <w:rsid w:val="0099296C"/>
    <w:rsid w:val="00993A9A"/>
    <w:rsid w:val="00995326"/>
    <w:rsid w:val="009A5953"/>
    <w:rsid w:val="009B1D16"/>
    <w:rsid w:val="009D1CF0"/>
    <w:rsid w:val="009F1505"/>
    <w:rsid w:val="009F4E81"/>
    <w:rsid w:val="00A04F22"/>
    <w:rsid w:val="00A06C49"/>
    <w:rsid w:val="00A121E5"/>
    <w:rsid w:val="00A1311A"/>
    <w:rsid w:val="00A27119"/>
    <w:rsid w:val="00A34608"/>
    <w:rsid w:val="00A37DE6"/>
    <w:rsid w:val="00A47AEF"/>
    <w:rsid w:val="00A540BA"/>
    <w:rsid w:val="00A6377C"/>
    <w:rsid w:val="00A71999"/>
    <w:rsid w:val="00A82DA2"/>
    <w:rsid w:val="00AA2E04"/>
    <w:rsid w:val="00AA3A47"/>
    <w:rsid w:val="00AA4D29"/>
    <w:rsid w:val="00AA745F"/>
    <w:rsid w:val="00AB4F5C"/>
    <w:rsid w:val="00AF5EAA"/>
    <w:rsid w:val="00B03F3E"/>
    <w:rsid w:val="00B13BC2"/>
    <w:rsid w:val="00B17705"/>
    <w:rsid w:val="00B35336"/>
    <w:rsid w:val="00B36286"/>
    <w:rsid w:val="00B402C2"/>
    <w:rsid w:val="00B433AA"/>
    <w:rsid w:val="00B44230"/>
    <w:rsid w:val="00B4525F"/>
    <w:rsid w:val="00B468C7"/>
    <w:rsid w:val="00B55E7C"/>
    <w:rsid w:val="00B637E8"/>
    <w:rsid w:val="00B64CEF"/>
    <w:rsid w:val="00B64D0E"/>
    <w:rsid w:val="00B80883"/>
    <w:rsid w:val="00B85049"/>
    <w:rsid w:val="00B855A3"/>
    <w:rsid w:val="00B944A1"/>
    <w:rsid w:val="00BA34F6"/>
    <w:rsid w:val="00BB4E45"/>
    <w:rsid w:val="00BC3213"/>
    <w:rsid w:val="00BC3EAE"/>
    <w:rsid w:val="00BC70F2"/>
    <w:rsid w:val="00BE6D5A"/>
    <w:rsid w:val="00BE780C"/>
    <w:rsid w:val="00C04653"/>
    <w:rsid w:val="00C10625"/>
    <w:rsid w:val="00C118CD"/>
    <w:rsid w:val="00C12BC9"/>
    <w:rsid w:val="00C16257"/>
    <w:rsid w:val="00C206D5"/>
    <w:rsid w:val="00C268FB"/>
    <w:rsid w:val="00C306EB"/>
    <w:rsid w:val="00C30886"/>
    <w:rsid w:val="00C44DF5"/>
    <w:rsid w:val="00C568EE"/>
    <w:rsid w:val="00C80387"/>
    <w:rsid w:val="00C81A85"/>
    <w:rsid w:val="00C8785C"/>
    <w:rsid w:val="00CC5767"/>
    <w:rsid w:val="00CD0ED9"/>
    <w:rsid w:val="00CD6F49"/>
    <w:rsid w:val="00CD77CF"/>
    <w:rsid w:val="00CF490B"/>
    <w:rsid w:val="00D14324"/>
    <w:rsid w:val="00D15B7C"/>
    <w:rsid w:val="00D305C9"/>
    <w:rsid w:val="00D53563"/>
    <w:rsid w:val="00D60B8B"/>
    <w:rsid w:val="00D75EAF"/>
    <w:rsid w:val="00D8142B"/>
    <w:rsid w:val="00D82BC8"/>
    <w:rsid w:val="00D97A8C"/>
    <w:rsid w:val="00DA1431"/>
    <w:rsid w:val="00DB0D48"/>
    <w:rsid w:val="00DC0DF3"/>
    <w:rsid w:val="00DC1C9B"/>
    <w:rsid w:val="00DD0861"/>
    <w:rsid w:val="00DE4B83"/>
    <w:rsid w:val="00DF37AF"/>
    <w:rsid w:val="00DF7C51"/>
    <w:rsid w:val="00E07DD2"/>
    <w:rsid w:val="00E105B9"/>
    <w:rsid w:val="00E41B10"/>
    <w:rsid w:val="00E42337"/>
    <w:rsid w:val="00E46554"/>
    <w:rsid w:val="00E46E73"/>
    <w:rsid w:val="00E5515E"/>
    <w:rsid w:val="00E63BC4"/>
    <w:rsid w:val="00E83B2F"/>
    <w:rsid w:val="00E84D48"/>
    <w:rsid w:val="00EA0C09"/>
    <w:rsid w:val="00EA3D4B"/>
    <w:rsid w:val="00EA4105"/>
    <w:rsid w:val="00EB35F2"/>
    <w:rsid w:val="00ED2231"/>
    <w:rsid w:val="00ED3D32"/>
    <w:rsid w:val="00ED6A54"/>
    <w:rsid w:val="00EE161C"/>
    <w:rsid w:val="00EE3A94"/>
    <w:rsid w:val="00EE3D69"/>
    <w:rsid w:val="00F07C46"/>
    <w:rsid w:val="00F11B86"/>
    <w:rsid w:val="00F14129"/>
    <w:rsid w:val="00F270A3"/>
    <w:rsid w:val="00F30630"/>
    <w:rsid w:val="00F33E00"/>
    <w:rsid w:val="00F3445C"/>
    <w:rsid w:val="00F54889"/>
    <w:rsid w:val="00F5649B"/>
    <w:rsid w:val="00F61AED"/>
    <w:rsid w:val="00F70CE7"/>
    <w:rsid w:val="00F74A51"/>
    <w:rsid w:val="00F7513D"/>
    <w:rsid w:val="00FA7F29"/>
    <w:rsid w:val="00FC0184"/>
    <w:rsid w:val="00FE0AB3"/>
    <w:rsid w:val="00FE5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96C"/>
    <w:pPr>
      <w:spacing w:after="200" w:line="276" w:lineRule="auto"/>
    </w:pPr>
    <w:rPr>
      <w:rFonts w:asciiTheme="minorHAnsi" w:eastAsia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99296C"/>
    <w:rPr>
      <w:sz w:val="24"/>
      <w:szCs w:val="24"/>
      <w:lang w:val="vi-VN" w:eastAsia="vi-VN"/>
    </w:rPr>
  </w:style>
  <w:style w:type="paragraph" w:styleId="NormalWeb">
    <w:name w:val="Normal (Web)"/>
    <w:basedOn w:val="Normal"/>
    <w:link w:val="NormalWebChar"/>
    <w:uiPriority w:val="99"/>
    <w:unhideWhenUsed/>
    <w:rsid w:val="0099296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locked/>
    <w:rsid w:val="0099296C"/>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uiPriority w:val="99"/>
    <w:unhideWhenUsed/>
    <w:rsid w:val="0099296C"/>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rsid w:val="0099296C"/>
    <w:rPr>
      <w:rFonts w:asciiTheme="minorHAnsi" w:eastAsiaTheme="minorHAnsi" w:hAnsiTheme="minorHAnsi" w:cstheme="minorBidi"/>
      <w:lang w:val="vi-VN"/>
    </w:rPr>
  </w:style>
  <w:style w:type="paragraph" w:styleId="PlainText">
    <w:name w:val="Plain Text"/>
    <w:basedOn w:val="Normal"/>
    <w:link w:val="PlainTextChar"/>
    <w:uiPriority w:val="99"/>
    <w:unhideWhenUsed/>
    <w:rsid w:val="0099296C"/>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99296C"/>
    <w:rPr>
      <w:rFonts w:ascii="Courier New" w:hAnsi="Courier New"/>
    </w:rPr>
  </w:style>
  <w:style w:type="character" w:styleId="FootnoteReference">
    <w:name w:val="footnote reference"/>
    <w:aliases w:val="Footnote,Ref,de nota al pie,Footnote text + 13 pt,Footnote text,ftref"/>
    <w:basedOn w:val="DefaultParagraphFont"/>
    <w:uiPriority w:val="99"/>
    <w:unhideWhenUsed/>
    <w:rsid w:val="0099296C"/>
    <w:rPr>
      <w:vertAlign w:val="superscript"/>
    </w:rPr>
  </w:style>
  <w:style w:type="table" w:styleId="TableGrid">
    <w:name w:val="Table Grid"/>
    <w:basedOn w:val="TableNormal"/>
    <w:uiPriority w:val="59"/>
    <w:rsid w:val="0099296C"/>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25A3A"/>
    <w:pPr>
      <w:tabs>
        <w:tab w:val="center" w:pos="4680"/>
        <w:tab w:val="right" w:pos="9360"/>
      </w:tabs>
      <w:spacing w:after="0" w:line="240" w:lineRule="auto"/>
    </w:pPr>
  </w:style>
  <w:style w:type="character" w:customStyle="1" w:styleId="HeaderChar">
    <w:name w:val="Header Char"/>
    <w:basedOn w:val="DefaultParagraphFont"/>
    <w:link w:val="Header"/>
    <w:rsid w:val="00725A3A"/>
    <w:rPr>
      <w:rFonts w:asciiTheme="minorHAnsi" w:eastAsiaTheme="minorHAnsi" w:hAnsiTheme="minorHAnsi" w:cstheme="minorBidi"/>
      <w:sz w:val="22"/>
      <w:szCs w:val="22"/>
      <w:lang w:val="vi-VN"/>
    </w:rPr>
  </w:style>
  <w:style w:type="paragraph" w:styleId="Footer">
    <w:name w:val="footer"/>
    <w:basedOn w:val="Normal"/>
    <w:link w:val="FooterChar"/>
    <w:uiPriority w:val="99"/>
    <w:rsid w:val="00725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A3A"/>
    <w:rPr>
      <w:rFonts w:asciiTheme="minorHAnsi" w:eastAsiaTheme="minorHAnsi" w:hAnsiTheme="minorHAnsi" w:cstheme="minorBidi"/>
      <w:sz w:val="22"/>
      <w:szCs w:val="22"/>
      <w:lang w:val="vi-VN"/>
    </w:rPr>
  </w:style>
  <w:style w:type="paragraph" w:styleId="BalloonText">
    <w:name w:val="Balloon Text"/>
    <w:basedOn w:val="Normal"/>
    <w:link w:val="BalloonTextChar"/>
    <w:rsid w:val="00225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250AA"/>
    <w:rPr>
      <w:rFonts w:ascii="Tahoma" w:eastAsiaTheme="minorHAnsi" w:hAnsi="Tahoma" w:cs="Tahoma"/>
      <w:sz w:val="16"/>
      <w:szCs w:val="16"/>
      <w:lang w:val="vi-VN"/>
    </w:rPr>
  </w:style>
  <w:style w:type="paragraph" w:styleId="BodyTextIndent">
    <w:name w:val="Body Text Indent"/>
    <w:basedOn w:val="Normal"/>
    <w:link w:val="BodyTextIndentChar"/>
    <w:rsid w:val="00B03F3E"/>
    <w:pPr>
      <w:spacing w:after="0" w:line="240" w:lineRule="auto"/>
      <w:ind w:left="349"/>
      <w:jc w:val="both"/>
    </w:pPr>
    <w:rPr>
      <w:rFonts w:ascii=".VnTime" w:eastAsia="Calibri" w:hAnsi=".VnTime" w:cs="Times New Roman"/>
      <w:sz w:val="28"/>
      <w:szCs w:val="20"/>
      <w:lang w:val="en-US"/>
    </w:rPr>
  </w:style>
  <w:style w:type="character" w:customStyle="1" w:styleId="BodyTextIndentChar">
    <w:name w:val="Body Text Indent Char"/>
    <w:basedOn w:val="DefaultParagraphFont"/>
    <w:link w:val="BodyTextIndent"/>
    <w:rsid w:val="00B03F3E"/>
    <w:rPr>
      <w:rFonts w:ascii=".VnTime" w:eastAsia="Calibri"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96C"/>
    <w:pPr>
      <w:spacing w:after="200" w:line="276" w:lineRule="auto"/>
    </w:pPr>
    <w:rPr>
      <w:rFonts w:asciiTheme="minorHAnsi" w:eastAsia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99296C"/>
    <w:rPr>
      <w:sz w:val="24"/>
      <w:szCs w:val="24"/>
      <w:lang w:val="vi-VN" w:eastAsia="vi-VN"/>
    </w:rPr>
  </w:style>
  <w:style w:type="paragraph" w:styleId="NormalWeb">
    <w:name w:val="Normal (Web)"/>
    <w:basedOn w:val="Normal"/>
    <w:link w:val="NormalWebChar"/>
    <w:uiPriority w:val="99"/>
    <w:unhideWhenUsed/>
    <w:rsid w:val="0099296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locked/>
    <w:rsid w:val="0099296C"/>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uiPriority w:val="99"/>
    <w:unhideWhenUsed/>
    <w:rsid w:val="0099296C"/>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rsid w:val="0099296C"/>
    <w:rPr>
      <w:rFonts w:asciiTheme="minorHAnsi" w:eastAsiaTheme="minorHAnsi" w:hAnsiTheme="minorHAnsi" w:cstheme="minorBidi"/>
      <w:lang w:val="vi-VN"/>
    </w:rPr>
  </w:style>
  <w:style w:type="paragraph" w:styleId="PlainText">
    <w:name w:val="Plain Text"/>
    <w:basedOn w:val="Normal"/>
    <w:link w:val="PlainTextChar"/>
    <w:uiPriority w:val="99"/>
    <w:unhideWhenUsed/>
    <w:rsid w:val="0099296C"/>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99296C"/>
    <w:rPr>
      <w:rFonts w:ascii="Courier New" w:hAnsi="Courier New"/>
    </w:rPr>
  </w:style>
  <w:style w:type="character" w:styleId="FootnoteReference">
    <w:name w:val="footnote reference"/>
    <w:aliases w:val="Footnote,Ref,de nota al pie,Footnote text + 13 pt,Footnote text,ftref"/>
    <w:basedOn w:val="DefaultParagraphFont"/>
    <w:uiPriority w:val="99"/>
    <w:unhideWhenUsed/>
    <w:rsid w:val="0099296C"/>
    <w:rPr>
      <w:vertAlign w:val="superscript"/>
    </w:rPr>
  </w:style>
  <w:style w:type="table" w:styleId="TableGrid">
    <w:name w:val="Table Grid"/>
    <w:basedOn w:val="TableNormal"/>
    <w:uiPriority w:val="59"/>
    <w:rsid w:val="0099296C"/>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25A3A"/>
    <w:pPr>
      <w:tabs>
        <w:tab w:val="center" w:pos="4680"/>
        <w:tab w:val="right" w:pos="9360"/>
      </w:tabs>
      <w:spacing w:after="0" w:line="240" w:lineRule="auto"/>
    </w:pPr>
  </w:style>
  <w:style w:type="character" w:customStyle="1" w:styleId="HeaderChar">
    <w:name w:val="Header Char"/>
    <w:basedOn w:val="DefaultParagraphFont"/>
    <w:link w:val="Header"/>
    <w:rsid w:val="00725A3A"/>
    <w:rPr>
      <w:rFonts w:asciiTheme="minorHAnsi" w:eastAsiaTheme="minorHAnsi" w:hAnsiTheme="minorHAnsi" w:cstheme="minorBidi"/>
      <w:sz w:val="22"/>
      <w:szCs w:val="22"/>
      <w:lang w:val="vi-VN"/>
    </w:rPr>
  </w:style>
  <w:style w:type="paragraph" w:styleId="Footer">
    <w:name w:val="footer"/>
    <w:basedOn w:val="Normal"/>
    <w:link w:val="FooterChar"/>
    <w:uiPriority w:val="99"/>
    <w:rsid w:val="00725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A3A"/>
    <w:rPr>
      <w:rFonts w:asciiTheme="minorHAnsi" w:eastAsiaTheme="minorHAnsi" w:hAnsiTheme="minorHAnsi" w:cstheme="minorBidi"/>
      <w:sz w:val="22"/>
      <w:szCs w:val="22"/>
      <w:lang w:val="vi-VN"/>
    </w:rPr>
  </w:style>
  <w:style w:type="paragraph" w:styleId="BalloonText">
    <w:name w:val="Balloon Text"/>
    <w:basedOn w:val="Normal"/>
    <w:link w:val="BalloonTextChar"/>
    <w:rsid w:val="00225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250AA"/>
    <w:rPr>
      <w:rFonts w:ascii="Tahoma" w:eastAsiaTheme="minorHAnsi" w:hAnsi="Tahoma" w:cs="Tahoma"/>
      <w:sz w:val="16"/>
      <w:szCs w:val="16"/>
      <w:lang w:val="vi-VN"/>
    </w:rPr>
  </w:style>
  <w:style w:type="paragraph" w:styleId="BodyTextIndent">
    <w:name w:val="Body Text Indent"/>
    <w:basedOn w:val="Normal"/>
    <w:link w:val="BodyTextIndentChar"/>
    <w:rsid w:val="00B03F3E"/>
    <w:pPr>
      <w:spacing w:after="0" w:line="240" w:lineRule="auto"/>
      <w:ind w:left="349"/>
      <w:jc w:val="both"/>
    </w:pPr>
    <w:rPr>
      <w:rFonts w:ascii=".VnTime" w:eastAsia="Calibri" w:hAnsi=".VnTime" w:cs="Times New Roman"/>
      <w:sz w:val="28"/>
      <w:szCs w:val="20"/>
      <w:lang w:val="en-US"/>
    </w:rPr>
  </w:style>
  <w:style w:type="character" w:customStyle="1" w:styleId="BodyTextIndentChar">
    <w:name w:val="Body Text Indent Char"/>
    <w:basedOn w:val="DefaultParagraphFont"/>
    <w:link w:val="BodyTextIndent"/>
    <w:rsid w:val="00B03F3E"/>
    <w:rPr>
      <w:rFonts w:ascii=".VnTime" w:eastAsia="Calibri" w:hAnsi=".VnTime"/>
      <w:sz w:val="28"/>
    </w:rPr>
  </w:style>
</w:styles>
</file>

<file path=word/webSettings.xml><?xml version="1.0" encoding="utf-8"?>
<w:webSettings xmlns:r="http://schemas.openxmlformats.org/officeDocument/2006/relationships" xmlns:w="http://schemas.openxmlformats.org/wordprocessingml/2006/main">
  <w:divs>
    <w:div w:id="538324282">
      <w:bodyDiv w:val="1"/>
      <w:marLeft w:val="0"/>
      <w:marRight w:val="0"/>
      <w:marTop w:val="0"/>
      <w:marBottom w:val="0"/>
      <w:divBdr>
        <w:top w:val="none" w:sz="0" w:space="0" w:color="auto"/>
        <w:left w:val="none" w:sz="0" w:space="0" w:color="auto"/>
        <w:bottom w:val="none" w:sz="0" w:space="0" w:color="auto"/>
        <w:right w:val="none" w:sz="0" w:space="0" w:color="auto"/>
      </w:divBdr>
    </w:div>
    <w:div w:id="1367756434">
      <w:bodyDiv w:val="1"/>
      <w:marLeft w:val="0"/>
      <w:marRight w:val="0"/>
      <w:marTop w:val="0"/>
      <w:marBottom w:val="0"/>
      <w:divBdr>
        <w:top w:val="none" w:sz="0" w:space="0" w:color="auto"/>
        <w:left w:val="none" w:sz="0" w:space="0" w:color="auto"/>
        <w:bottom w:val="none" w:sz="0" w:space="0" w:color="auto"/>
        <w:right w:val="none" w:sz="0" w:space="0" w:color="auto"/>
      </w:divBdr>
    </w:div>
    <w:div w:id="1512720279">
      <w:bodyDiv w:val="1"/>
      <w:marLeft w:val="0"/>
      <w:marRight w:val="0"/>
      <w:marTop w:val="0"/>
      <w:marBottom w:val="0"/>
      <w:divBdr>
        <w:top w:val="none" w:sz="0" w:space="0" w:color="auto"/>
        <w:left w:val="none" w:sz="0" w:space="0" w:color="auto"/>
        <w:bottom w:val="none" w:sz="0" w:space="0" w:color="auto"/>
        <w:right w:val="none" w:sz="0" w:space="0" w:color="auto"/>
      </w:divBdr>
    </w:div>
    <w:div w:id="1901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DE1DD-0FCB-472A-A397-472FDC88E623}">
  <ds:schemaRefs>
    <ds:schemaRef ds:uri="http://schemas.openxmlformats.org/officeDocument/2006/bibliography"/>
  </ds:schemaRefs>
</ds:datastoreItem>
</file>

<file path=customXml/itemProps2.xml><?xml version="1.0" encoding="utf-8"?>
<ds:datastoreItem xmlns:ds="http://schemas.openxmlformats.org/officeDocument/2006/customXml" ds:itemID="{99C6AF45-EC11-45DC-A2C4-44ECE3324FEA}"/>
</file>

<file path=customXml/itemProps3.xml><?xml version="1.0" encoding="utf-8"?>
<ds:datastoreItem xmlns:ds="http://schemas.openxmlformats.org/officeDocument/2006/customXml" ds:itemID="{C0CF4DCB-755B-4E84-ADEF-62749B818BC6}"/>
</file>

<file path=customXml/itemProps4.xml><?xml version="1.0" encoding="utf-8"?>
<ds:datastoreItem xmlns:ds="http://schemas.openxmlformats.org/officeDocument/2006/customXml" ds:itemID="{BE4678E9-BCDB-4DA0-A424-35FC264A3221}"/>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2019-08-23T01:28:00Z</cp:lastPrinted>
  <dcterms:created xsi:type="dcterms:W3CDTF">2019-09-18T08:21:00Z</dcterms:created>
  <dcterms:modified xsi:type="dcterms:W3CDTF">2019-09-18T08:21:00Z</dcterms:modified>
</cp:coreProperties>
</file>